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DD3D28" w14:paraId="2D40B386" w14:textId="77777777">
        <w:tc>
          <w:tcPr>
            <w:tcW w:w="509" w:type="dxa"/>
          </w:tcPr>
          <w:p w14:paraId="5FD38D4C" w14:textId="77777777" w:rsidR="00DD3D28" w:rsidRDefault="004A3D5A">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1E0844F" w14:textId="77777777" w:rsidR="00DD3D28" w:rsidRDefault="004A3D5A">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fldChar w:fldCharType="begin">
                <w:ffData>
                  <w:name w:val="ICS"/>
                  <w:enabled/>
                  <w:calcOnExit w:val="0"/>
                  <w:textInput>
                    <w:default w:val="03.080"/>
                  </w:textInput>
                </w:ffData>
              </w:fldChar>
            </w:r>
            <w:bookmarkStart w:id="0" w:name="ICS"/>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03.080</w:t>
            </w:r>
            <w:r>
              <w:rPr>
                <w:rFonts w:ascii="黑体" w:eastAsia="黑体" w:hAnsi="黑体" w:hint="eastAsia"/>
                <w:sz w:val="21"/>
                <w:szCs w:val="21"/>
              </w:rPr>
              <w:fldChar w:fldCharType="end"/>
            </w:r>
            <w:bookmarkEnd w:id="0"/>
          </w:p>
        </w:tc>
      </w:tr>
      <w:tr w:rsidR="00DD3D28" w14:paraId="6258EAD9" w14:textId="77777777">
        <w:tc>
          <w:tcPr>
            <w:tcW w:w="509" w:type="dxa"/>
          </w:tcPr>
          <w:p w14:paraId="2633F9F1" w14:textId="77777777" w:rsidR="00DD3D28" w:rsidRDefault="004A3D5A">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3308595C" w14:textId="77777777" w:rsidR="00DD3D28" w:rsidRDefault="004A3D5A">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fldChar w:fldCharType="begin">
                <w:ffData>
                  <w:name w:val="CSDN"/>
                  <w:enabled/>
                  <w:calcOnExit w:val="0"/>
                  <w:textInput>
                    <w:default w:val="A16"/>
                  </w:textInput>
                </w:ffData>
              </w:fldChar>
            </w:r>
            <w:bookmarkStart w:id="1" w:name="CSDN"/>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A16</w:t>
            </w:r>
            <w:r>
              <w:rPr>
                <w:rFonts w:ascii="黑体" w:eastAsia="黑体" w:hAnsi="黑体" w:hint="eastAsia"/>
                <w:sz w:val="21"/>
                <w:szCs w:val="21"/>
              </w:rPr>
              <w:fldChar w:fldCharType="end"/>
            </w:r>
            <w:bookmarkEnd w:id="1"/>
          </w:p>
        </w:tc>
      </w:tr>
    </w:tbl>
    <w:tbl>
      <w:tblPr>
        <w:tblStyle w:val="affffb"/>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DD3D28" w14:paraId="2AB9E60D" w14:textId="77777777">
        <w:tc>
          <w:tcPr>
            <w:tcW w:w="6407" w:type="dxa"/>
          </w:tcPr>
          <w:p w14:paraId="08366B2A" w14:textId="77777777" w:rsidR="00DD3D28" w:rsidRDefault="004A3D5A">
            <w:pPr>
              <w:pStyle w:val="afffff4"/>
              <w:framePr w:w="0" w:hRule="auto" w:wrap="auto" w:hAnchor="text" w:xAlign="left" w:yAlign="inline" w:anchorLock="0"/>
              <w:rPr>
                <w:rFonts w:ascii="宋体" w:hAnsi="宋体"/>
                <w:sz w:val="28"/>
                <w:szCs w:val="28"/>
              </w:rPr>
            </w:pPr>
            <w:bookmarkStart w:id="2" w:name="_Hlk26473981"/>
            <w:r>
              <w:rPr>
                <w:noProof/>
              </w:rPr>
              <w:drawing>
                <wp:inline distT="0" distB="0" distL="114300" distR="114300" wp14:anchorId="348DA7CB" wp14:editId="396AE559">
                  <wp:extent cx="796290" cy="397510"/>
                  <wp:effectExtent l="0" t="0" r="3810" b="254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a:stretch>
                            <a:fillRect/>
                          </a:stretch>
                        </pic:blipFill>
                        <pic:spPr>
                          <a:xfrm>
                            <a:off x="0" y="0"/>
                            <a:ext cx="796290" cy="397510"/>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32"/>
                    <w:maxLength w:val="8"/>
                  </w:textInput>
                </w:ffData>
              </w:fldChar>
            </w:r>
            <w:bookmarkStart w:id="3" w:name="c1"/>
            <w:r>
              <w:instrText xml:space="preserve"> FORMTEXT </w:instrText>
            </w:r>
            <w:r>
              <w:fldChar w:fldCharType="separate"/>
            </w:r>
            <w:r>
              <w:t>32</w:t>
            </w:r>
            <w:r>
              <w:fldChar w:fldCharType="end"/>
            </w:r>
            <w:bookmarkEnd w:id="3"/>
          </w:p>
        </w:tc>
      </w:tr>
    </w:tbl>
    <w:p w14:paraId="38BB589D" w14:textId="77777777" w:rsidR="00DD3D28" w:rsidRDefault="004A3D5A">
      <w:pPr>
        <w:pStyle w:val="afffff5"/>
        <w:framePr w:w="9639" w:h="624" w:hRule="exact" w:hSpace="181" w:vSpace="181" w:wrap="around" w:vAnchor="text"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default w:val="江苏省"/>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06435B5A" w14:textId="77777777" w:rsidR="00DD3D28" w:rsidRDefault="004A3D5A">
      <w:pPr>
        <w:pStyle w:val="affffffffff7"/>
        <w:framePr w:wrap="auto"/>
        <w:rPr>
          <w:lang w:val="fr-FR"/>
        </w:rPr>
      </w:pPr>
      <w:r>
        <w:rPr>
          <w:lang w:val="fr-FR"/>
        </w:rPr>
        <w:t>DB</w:t>
      </w:r>
      <w:r>
        <w:rPr>
          <w:sz w:val="15"/>
          <w:szCs w:val="15"/>
          <w:lang w:val="fr-FR"/>
        </w:rPr>
        <w:t xml:space="preserve"> </w:t>
      </w:r>
      <w:r>
        <w:fldChar w:fldCharType="begin">
          <w:ffData>
            <w:name w:val="文字1"/>
            <w:enabled/>
            <w:calcOnExit w:val="0"/>
            <w:textInput>
              <w:default w:val="32/T"/>
            </w:textInput>
          </w:ffData>
        </w:fldChar>
      </w:r>
      <w:bookmarkStart w:id="5" w:name="文字1"/>
      <w:r>
        <w:instrText xml:space="preserve"> FORMTEXT </w:instrText>
      </w:r>
      <w:r>
        <w:fldChar w:fldCharType="separate"/>
      </w:r>
      <w: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611436C7" w14:textId="77777777" w:rsidR="00DD3D28" w:rsidRDefault="004A3D5A">
      <w:pPr>
        <w:pStyle w:val="affffffffff8"/>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5F865B24" w14:textId="77777777" w:rsidR="00DD3D28" w:rsidRDefault="004A3D5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4ED4F90" wp14:editId="2F12250D">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1B8D674"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" o:allowoverlap="f">
                <w10:wrap anchorx="page" anchory="page"/>
              </v:line>
            </w:pict>
          </mc:Fallback>
        </mc:AlternateContent>
      </w:r>
    </w:p>
    <w:p w14:paraId="40634EAB" w14:textId="77777777" w:rsidR="00DD3D28" w:rsidRDefault="00DD3D28">
      <w:pPr>
        <w:pStyle w:val="afffff5"/>
        <w:framePr w:w="9639" w:h="6976" w:hRule="exact" w:hSpace="0" w:vSpace="0" w:wrap="around" w:vAnchor="text" w:hAnchor="page" w:y="6408"/>
        <w:jc w:val="center"/>
        <w:rPr>
          <w:rFonts w:ascii="黑体" w:eastAsia="黑体" w:hAnsi="黑体"/>
          <w:b w:val="0"/>
          <w:bCs w:val="0"/>
          <w:w w:val="100"/>
        </w:rPr>
      </w:pPr>
    </w:p>
    <w:p w14:paraId="3CCDC0C0" w14:textId="77777777" w:rsidR="00DD3D28" w:rsidRDefault="004A3D5A">
      <w:pPr>
        <w:pStyle w:val="affffffffff9"/>
        <w:framePr w:h="6974" w:hRule="exact" w:wrap="around" w:x="1419" w:anchorLock="1"/>
      </w:pPr>
      <w:r>
        <w:rPr>
          <w:rFonts w:hint="eastAsia"/>
        </w:rPr>
        <w:fldChar w:fldCharType="begin">
          <w:ffData>
            <w:name w:val="CSTD_NAME"/>
            <w:enabled/>
            <w:calcOnExit w:val="0"/>
            <w:textInput>
              <w:default w:val="公共美术馆重要设施设备运行管理规范"/>
            </w:textInput>
          </w:ffData>
        </w:fldChar>
      </w:r>
      <w:bookmarkStart w:id="9" w:name="CSTD_NAME"/>
      <w:r>
        <w:rPr>
          <w:rFonts w:hint="eastAsia"/>
        </w:rPr>
        <w:instrText xml:space="preserve"> FORMTEXT </w:instrText>
      </w:r>
      <w:r>
        <w:rPr>
          <w:rFonts w:hint="eastAsia"/>
        </w:rPr>
      </w:r>
      <w:r>
        <w:rPr>
          <w:rFonts w:hint="eastAsia"/>
        </w:rPr>
        <w:fldChar w:fldCharType="separate"/>
      </w:r>
      <w:r>
        <w:rPr>
          <w:rFonts w:hint="eastAsia"/>
        </w:rPr>
        <w:t>公共美术馆重要设施设备运行管理规范</w:t>
      </w:r>
      <w:r>
        <w:rPr>
          <w:rFonts w:hint="eastAsia"/>
        </w:rPr>
        <w:fldChar w:fldCharType="end"/>
      </w:r>
      <w:bookmarkEnd w:id="9"/>
    </w:p>
    <w:p w14:paraId="3C685C4B" w14:textId="77777777" w:rsidR="00DD3D28" w:rsidRDefault="00DD3D28">
      <w:pPr>
        <w:framePr w:w="9639" w:h="6974" w:hRule="exact" w:wrap="around" w:vAnchor="page" w:hAnchor="page" w:x="1419" w:y="6408" w:anchorLock="1"/>
        <w:ind w:left="-1418"/>
      </w:pPr>
    </w:p>
    <w:p w14:paraId="0AA97B39" w14:textId="77777777" w:rsidR="00DD3D28" w:rsidRDefault="004A3D5A">
      <w:pPr>
        <w:pStyle w:val="afffffffd"/>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Management Specification for Operation of Important Facilities and Equipment in Public Art Museums"/>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Management Specification for Operation of Important Facilities and Equipment in Public Art Museums</w:t>
      </w:r>
      <w:r>
        <w:rPr>
          <w:rFonts w:eastAsia="黑体"/>
          <w:szCs w:val="28"/>
        </w:rPr>
        <w:fldChar w:fldCharType="end"/>
      </w:r>
      <w:bookmarkEnd w:id="10"/>
    </w:p>
    <w:p w14:paraId="22E8E23F" w14:textId="77777777" w:rsidR="00DD3D28" w:rsidRDefault="00DD3D28">
      <w:pPr>
        <w:framePr w:w="9639" w:h="6974" w:hRule="exact" w:wrap="around" w:vAnchor="page" w:hAnchor="page" w:x="1419" w:y="6408" w:anchorLock="1"/>
        <w:spacing w:line="760" w:lineRule="exact"/>
        <w:ind w:left="-1418"/>
      </w:pPr>
    </w:p>
    <w:p w14:paraId="5B3C48A0" w14:textId="77777777" w:rsidR="00DD3D28" w:rsidRDefault="00DD3D28">
      <w:pPr>
        <w:pStyle w:val="afffffffd"/>
        <w:framePr w:w="9639" w:h="6974" w:hRule="exact" w:wrap="around" w:vAnchor="page" w:hAnchor="page" w:x="1419" w:y="6408" w:anchorLock="1"/>
        <w:textAlignment w:val="bottom"/>
        <w:rPr>
          <w:rFonts w:eastAsia="黑体"/>
          <w:szCs w:val="28"/>
        </w:rPr>
      </w:pPr>
    </w:p>
    <w:p w14:paraId="32BB15BE" w14:textId="77777777" w:rsidR="00DD3D28" w:rsidRDefault="004A3D5A">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bookmarkStart w:id="12" w:name="_GoBack"/>
    <w:bookmarkEnd w:id="12"/>
    <w:p w14:paraId="35910732" w14:textId="77777777" w:rsidR="00DD3D28" w:rsidRDefault="004A3D5A">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17CDE52E" w14:textId="77777777" w:rsidR="00DD3D28" w:rsidRDefault="004A3D5A">
      <w:pPr>
        <w:pStyle w:val="affffffffff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50DDCB49" w14:textId="77777777" w:rsidR="00DD3D28" w:rsidRDefault="004A3D5A">
      <w:pPr>
        <w:pStyle w:val="affffffffff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w:t>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67CC847C" w14:textId="2727CE2D" w:rsidR="00DD3D28" w:rsidRDefault="004A3D5A">
      <w:pPr>
        <w:pStyle w:val="affffffffd"/>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w:instrText>
      </w:r>
      <w:r>
        <w:rPr>
          <w:rFonts w:hAnsi="黑体"/>
          <w:w w:val="100"/>
          <w:sz w:val="28"/>
        </w:rPr>
        <w:instrText xml:space="preserve">EXT </w:instrText>
      </w:r>
      <w:r>
        <w:rPr>
          <w:rFonts w:hAnsi="黑体"/>
          <w:w w:val="100"/>
          <w:sz w:val="28"/>
        </w:rPr>
      </w:r>
      <w:r>
        <w:rPr>
          <w:rFonts w:hAnsi="黑体"/>
          <w:w w:val="100"/>
          <w:sz w:val="28"/>
        </w:rPr>
        <w:fldChar w:fldCharType="separate"/>
      </w:r>
      <w:r w:rsidR="00684CF3">
        <w:rPr>
          <w:rFonts w:hAnsi="黑体"/>
          <w:w w:val="100"/>
          <w:sz w:val="28"/>
        </w:rPr>
        <w:t> </w:t>
      </w:r>
      <w:r w:rsidR="00684CF3">
        <w:rPr>
          <w:rFonts w:hAnsi="黑体"/>
          <w:w w:val="100"/>
          <w:sz w:val="28"/>
        </w:rPr>
        <w:t> </w:t>
      </w:r>
      <w:r w:rsidR="00684CF3">
        <w:rPr>
          <w:rFonts w:hAnsi="黑体"/>
          <w:w w:val="100"/>
          <w:sz w:val="28"/>
        </w:rPr>
        <w:t> </w:t>
      </w:r>
      <w:r w:rsidR="00684CF3">
        <w:rPr>
          <w:rFonts w:hAnsi="黑体"/>
          <w:w w:val="100"/>
          <w:sz w:val="28"/>
        </w:rPr>
        <w:t> </w:t>
      </w:r>
      <w:r w:rsidR="00684CF3">
        <w:rPr>
          <w:rFonts w:hAnsi="黑体"/>
          <w:w w:val="100"/>
          <w:sz w:val="28"/>
        </w:rPr>
        <w:t> </w:t>
      </w:r>
      <w:r>
        <w:rPr>
          <w:rFonts w:hAnsi="黑体"/>
          <w:w w:val="100"/>
          <w:sz w:val="28"/>
        </w:rPr>
        <w:fldChar w:fldCharType="end"/>
      </w:r>
      <w:bookmarkEnd w:id="20"/>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2C038880" w14:textId="77777777" w:rsidR="00DD3D28" w:rsidRDefault="004A3D5A">
      <w:pPr>
        <w:rPr>
          <w:rFonts w:ascii="宋体" w:hAnsi="宋体"/>
          <w:sz w:val="28"/>
          <w:szCs w:val="28"/>
        </w:r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624201D" wp14:editId="12F0E1D0">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38E3A92"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">
                <w10:wrap anchorx="page" anchory="page"/>
                <w10:anchorlock/>
              </v:line>
            </w:pict>
          </mc:Fallback>
        </mc:AlternateContent>
      </w:r>
    </w:p>
    <w:p w14:paraId="1E986F38" w14:textId="77777777" w:rsidR="00DD3D28" w:rsidRDefault="00DD3D28">
      <w:pPr>
        <w:rPr>
          <w:rFonts w:ascii="宋体" w:hAnsi="宋体"/>
          <w:sz w:val="28"/>
          <w:szCs w:val="28"/>
        </w:rPr>
      </w:pPr>
    </w:p>
    <w:p w14:paraId="58EF6D37" w14:textId="77777777" w:rsidR="00DD3D28" w:rsidRDefault="00DD3D28">
      <w:pPr>
        <w:rPr>
          <w:rFonts w:ascii="宋体" w:hAnsi="宋体"/>
          <w:sz w:val="28"/>
          <w:szCs w:val="28"/>
        </w:rPr>
      </w:pPr>
    </w:p>
    <w:p w14:paraId="743DC7D2" w14:textId="77777777" w:rsidR="00DD3D28" w:rsidRDefault="00DD3D28">
      <w:pPr>
        <w:rPr>
          <w:rFonts w:ascii="宋体" w:hAnsi="宋体"/>
          <w:sz w:val="28"/>
          <w:szCs w:val="28"/>
        </w:rPr>
      </w:pPr>
    </w:p>
    <w:p w14:paraId="0127B243" w14:textId="77777777" w:rsidR="00DD3D28" w:rsidRDefault="00DD3D28">
      <w:pPr>
        <w:tabs>
          <w:tab w:val="left" w:pos="3044"/>
        </w:tabs>
        <w:rPr>
          <w:rFonts w:ascii="宋体" w:hAnsi="宋体"/>
          <w:sz w:val="28"/>
          <w:szCs w:val="28"/>
        </w:rPr>
      </w:pPr>
    </w:p>
    <w:p w14:paraId="6AEE6843" w14:textId="77777777" w:rsidR="00DD3D28" w:rsidRDefault="00DD3D28">
      <w:pPr>
        <w:rPr>
          <w:rFonts w:ascii="宋体" w:hAnsi="宋体"/>
          <w:sz w:val="28"/>
          <w:szCs w:val="28"/>
        </w:rPr>
      </w:pPr>
    </w:p>
    <w:p w14:paraId="5722CDD2" w14:textId="77777777" w:rsidR="00DD3D28" w:rsidRDefault="00DD3D28">
      <w:pPr>
        <w:rPr>
          <w:rFonts w:ascii="宋体" w:hAnsi="宋体"/>
          <w:sz w:val="28"/>
          <w:szCs w:val="28"/>
        </w:rPr>
      </w:pPr>
    </w:p>
    <w:p w14:paraId="6D3EE3DA" w14:textId="77777777" w:rsidR="00DD3D28" w:rsidRDefault="00DD3D28">
      <w:pPr>
        <w:rPr>
          <w:rFonts w:ascii="宋体" w:hAnsi="宋体"/>
          <w:sz w:val="28"/>
          <w:szCs w:val="28"/>
        </w:rPr>
      </w:pPr>
    </w:p>
    <w:p w14:paraId="20B817FC" w14:textId="77777777" w:rsidR="00DD3D28" w:rsidRDefault="00DD3D28">
      <w:pPr>
        <w:rPr>
          <w:rFonts w:ascii="宋体" w:hAnsi="宋体"/>
          <w:sz w:val="28"/>
          <w:szCs w:val="28"/>
        </w:rPr>
      </w:pPr>
    </w:p>
    <w:p w14:paraId="517CE6B4" w14:textId="77777777" w:rsidR="00DD3D28" w:rsidRDefault="00DD3D28">
      <w:pPr>
        <w:rPr>
          <w:rFonts w:ascii="宋体" w:hAnsi="宋体"/>
          <w:sz w:val="28"/>
          <w:szCs w:val="28"/>
        </w:rPr>
      </w:pPr>
    </w:p>
    <w:p w14:paraId="3FAB5E28" w14:textId="77777777" w:rsidR="00DD3D28" w:rsidRDefault="00DD3D28">
      <w:pPr>
        <w:rPr>
          <w:rFonts w:ascii="宋体" w:hAnsi="宋体"/>
          <w:sz w:val="28"/>
          <w:szCs w:val="28"/>
        </w:rPr>
        <w:sectPr w:rsidR="00DD3D28">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720"/>
          <w:titlePg/>
          <w:docGrid w:linePitch="312"/>
        </w:sectPr>
      </w:pPr>
    </w:p>
    <w:p w14:paraId="7FDEF58D" w14:textId="77777777" w:rsidR="001020EC" w:rsidRDefault="001020EC" w:rsidP="001020EC">
      <w:pPr>
        <w:pStyle w:val="afffffff"/>
        <w:spacing w:after="468"/>
      </w:pPr>
      <w:bookmarkStart w:id="21" w:name="BookMark1"/>
      <w:bookmarkStart w:id="22" w:name="_Toc182987026"/>
      <w:bookmarkStart w:id="23" w:name="_Toc183696655"/>
      <w:bookmarkStart w:id="24" w:name="_Toc183696249"/>
      <w:bookmarkStart w:id="25" w:name="_Toc183795888"/>
      <w:r w:rsidRPr="001020EC">
        <w:rPr>
          <w:rFonts w:hint="eastAsia"/>
          <w:spacing w:val="320"/>
        </w:rPr>
        <w:lastRenderedPageBreak/>
        <w:t>目</w:t>
      </w:r>
      <w:r>
        <w:rPr>
          <w:rFonts w:hint="eastAsia"/>
        </w:rPr>
        <w:t>次</w:t>
      </w:r>
    </w:p>
    <w:p w14:paraId="28AE23D0" w14:textId="067F984B" w:rsidR="001020EC" w:rsidRPr="001020EC" w:rsidRDefault="001020EC">
      <w:pPr>
        <w:pStyle w:val="11"/>
        <w:tabs>
          <w:tab w:val="right" w:leader="dot" w:pos="9344"/>
        </w:tabs>
        <w:rPr>
          <w:rFonts w:asciiTheme="minorHAnsi" w:eastAsiaTheme="minorEastAsia" w:hAnsiTheme="minorHAnsi" w:cstheme="minorBidi"/>
          <w:noProof/>
          <w:szCs w:val="22"/>
          <w14:ligatures w14:val="standardContextual"/>
        </w:rPr>
      </w:pPr>
      <w:r w:rsidRPr="001020EC">
        <w:fldChar w:fldCharType="begin"/>
      </w:r>
      <w:r w:rsidRPr="001020EC">
        <w:instrText xml:space="preserve"> TOC \o "1-1" \h \t "标准文件_一级条标题,2,标准文件_二级条标题,3,标准文件_附录一级条标题,2,标准文件_附录二级条标题,3," </w:instrText>
      </w:r>
      <w:r w:rsidRPr="001020EC">
        <w:fldChar w:fldCharType="separate"/>
      </w:r>
      <w:hyperlink w:anchor="_Toc184124605" w:history="1">
        <w:r w:rsidRPr="001020EC">
          <w:rPr>
            <w:rStyle w:val="afffff"/>
            <w:rFonts w:hint="eastAsia"/>
            <w:noProof/>
          </w:rPr>
          <w:t>前言</w:t>
        </w:r>
        <w:r w:rsidRPr="001020EC">
          <w:rPr>
            <w:rFonts w:hint="eastAsia"/>
            <w:noProof/>
          </w:rPr>
          <w:tab/>
        </w:r>
        <w:r w:rsidRPr="001020EC">
          <w:rPr>
            <w:rFonts w:hint="eastAsia"/>
            <w:noProof/>
          </w:rPr>
          <w:fldChar w:fldCharType="begin"/>
        </w:r>
        <w:r w:rsidRPr="001020EC">
          <w:rPr>
            <w:rFonts w:hint="eastAsia"/>
            <w:noProof/>
          </w:rPr>
          <w:instrText xml:space="preserve"> </w:instrText>
        </w:r>
        <w:r w:rsidRPr="001020EC">
          <w:rPr>
            <w:noProof/>
          </w:rPr>
          <w:instrText>PAGEREF _Toc184124605 \h</w:instrText>
        </w:r>
        <w:r w:rsidRPr="001020EC">
          <w:rPr>
            <w:rFonts w:hint="eastAsia"/>
            <w:noProof/>
          </w:rPr>
          <w:instrText xml:space="preserve"> </w:instrText>
        </w:r>
        <w:r w:rsidRPr="001020EC">
          <w:rPr>
            <w:rFonts w:hint="eastAsia"/>
            <w:noProof/>
          </w:rPr>
        </w:r>
        <w:r w:rsidRPr="001020EC">
          <w:rPr>
            <w:rFonts w:hint="eastAsia"/>
            <w:noProof/>
          </w:rPr>
          <w:fldChar w:fldCharType="separate"/>
        </w:r>
        <w:r w:rsidRPr="001020EC">
          <w:rPr>
            <w:noProof/>
          </w:rPr>
          <w:t>II</w:t>
        </w:r>
        <w:r w:rsidRPr="001020EC">
          <w:rPr>
            <w:rFonts w:hint="eastAsia"/>
            <w:noProof/>
          </w:rPr>
          <w:fldChar w:fldCharType="end"/>
        </w:r>
      </w:hyperlink>
    </w:p>
    <w:p w14:paraId="3BA0A387" w14:textId="3D2F2134" w:rsidR="001020EC" w:rsidRPr="001020EC" w:rsidRDefault="004A3D5A">
      <w:pPr>
        <w:pStyle w:val="11"/>
        <w:tabs>
          <w:tab w:val="right" w:leader="dot" w:pos="9344"/>
        </w:tabs>
        <w:rPr>
          <w:rFonts w:asciiTheme="minorHAnsi" w:eastAsiaTheme="minorEastAsia" w:hAnsiTheme="minorHAnsi" w:cstheme="minorBidi"/>
          <w:noProof/>
          <w:szCs w:val="22"/>
          <w14:ligatures w14:val="standardContextual"/>
        </w:rPr>
      </w:pPr>
      <w:hyperlink w:anchor="_Toc184124606" w:history="1">
        <w:r w:rsidR="001020EC" w:rsidRPr="001020EC">
          <w:rPr>
            <w:rStyle w:val="afffff"/>
            <w:rFonts w:hint="eastAsia"/>
            <w:noProof/>
          </w:rPr>
          <w:t>1</w:t>
        </w:r>
        <w:r w:rsidR="001020EC">
          <w:rPr>
            <w:rStyle w:val="afffff"/>
            <w:noProof/>
          </w:rPr>
          <w:t xml:space="preserve"> </w:t>
        </w:r>
        <w:r w:rsidR="001020EC" w:rsidRPr="001020EC">
          <w:rPr>
            <w:rStyle w:val="afffff"/>
            <w:rFonts w:hint="eastAsia"/>
            <w:noProof/>
          </w:rPr>
          <w:t xml:space="preserve"> 范围</w:t>
        </w:r>
        <w:r w:rsidR="001020EC" w:rsidRPr="001020EC">
          <w:rPr>
            <w:rFonts w:hint="eastAsia"/>
            <w:noProof/>
          </w:rPr>
          <w:tab/>
        </w:r>
        <w:r w:rsidR="001020EC" w:rsidRPr="001020EC">
          <w:rPr>
            <w:rFonts w:hint="eastAsia"/>
            <w:noProof/>
          </w:rPr>
          <w:fldChar w:fldCharType="begin"/>
        </w:r>
        <w:r w:rsidR="001020EC" w:rsidRPr="001020EC">
          <w:rPr>
            <w:rFonts w:hint="eastAsia"/>
            <w:noProof/>
          </w:rPr>
          <w:instrText xml:space="preserve"> </w:instrText>
        </w:r>
        <w:r w:rsidR="001020EC" w:rsidRPr="001020EC">
          <w:rPr>
            <w:noProof/>
          </w:rPr>
          <w:instrText>PAGEREF _Toc184124606 \h</w:instrText>
        </w:r>
        <w:r w:rsidR="001020EC" w:rsidRPr="001020EC">
          <w:rPr>
            <w:rFonts w:hint="eastAsia"/>
            <w:noProof/>
          </w:rPr>
          <w:instrText xml:space="preserve"> </w:instrText>
        </w:r>
        <w:r w:rsidR="001020EC" w:rsidRPr="001020EC">
          <w:rPr>
            <w:rFonts w:hint="eastAsia"/>
            <w:noProof/>
          </w:rPr>
        </w:r>
        <w:r w:rsidR="001020EC" w:rsidRPr="001020EC">
          <w:rPr>
            <w:rFonts w:hint="eastAsia"/>
            <w:noProof/>
          </w:rPr>
          <w:fldChar w:fldCharType="separate"/>
        </w:r>
        <w:r w:rsidR="001020EC" w:rsidRPr="001020EC">
          <w:rPr>
            <w:noProof/>
          </w:rPr>
          <w:t>1</w:t>
        </w:r>
        <w:r w:rsidR="001020EC" w:rsidRPr="001020EC">
          <w:rPr>
            <w:rFonts w:hint="eastAsia"/>
            <w:noProof/>
          </w:rPr>
          <w:fldChar w:fldCharType="end"/>
        </w:r>
      </w:hyperlink>
    </w:p>
    <w:p w14:paraId="1CAE3807" w14:textId="732D89F7" w:rsidR="001020EC" w:rsidRPr="001020EC" w:rsidRDefault="004A3D5A">
      <w:pPr>
        <w:pStyle w:val="11"/>
        <w:tabs>
          <w:tab w:val="right" w:leader="dot" w:pos="9344"/>
        </w:tabs>
        <w:rPr>
          <w:rFonts w:asciiTheme="minorHAnsi" w:eastAsiaTheme="minorEastAsia" w:hAnsiTheme="minorHAnsi" w:cstheme="minorBidi"/>
          <w:noProof/>
          <w:szCs w:val="22"/>
          <w14:ligatures w14:val="standardContextual"/>
        </w:rPr>
      </w:pPr>
      <w:hyperlink w:anchor="_Toc184124607" w:history="1">
        <w:r w:rsidR="001020EC" w:rsidRPr="001020EC">
          <w:rPr>
            <w:rStyle w:val="afffff"/>
            <w:rFonts w:hint="eastAsia"/>
            <w:noProof/>
          </w:rPr>
          <w:t>2</w:t>
        </w:r>
        <w:r w:rsidR="001020EC">
          <w:rPr>
            <w:rStyle w:val="afffff"/>
            <w:noProof/>
          </w:rPr>
          <w:t xml:space="preserve"> </w:t>
        </w:r>
        <w:r w:rsidR="001020EC" w:rsidRPr="001020EC">
          <w:rPr>
            <w:rStyle w:val="afffff"/>
            <w:rFonts w:hint="eastAsia"/>
            <w:noProof/>
          </w:rPr>
          <w:t xml:space="preserve"> 规范性引用文件</w:t>
        </w:r>
        <w:r w:rsidR="001020EC" w:rsidRPr="001020EC">
          <w:rPr>
            <w:rFonts w:hint="eastAsia"/>
            <w:noProof/>
          </w:rPr>
          <w:tab/>
        </w:r>
        <w:r w:rsidR="001020EC" w:rsidRPr="001020EC">
          <w:rPr>
            <w:rFonts w:hint="eastAsia"/>
            <w:noProof/>
          </w:rPr>
          <w:fldChar w:fldCharType="begin"/>
        </w:r>
        <w:r w:rsidR="001020EC" w:rsidRPr="001020EC">
          <w:rPr>
            <w:rFonts w:hint="eastAsia"/>
            <w:noProof/>
          </w:rPr>
          <w:instrText xml:space="preserve"> </w:instrText>
        </w:r>
        <w:r w:rsidR="001020EC" w:rsidRPr="001020EC">
          <w:rPr>
            <w:noProof/>
          </w:rPr>
          <w:instrText>PAGEREF _Toc184124607 \h</w:instrText>
        </w:r>
        <w:r w:rsidR="001020EC" w:rsidRPr="001020EC">
          <w:rPr>
            <w:rFonts w:hint="eastAsia"/>
            <w:noProof/>
          </w:rPr>
          <w:instrText xml:space="preserve"> </w:instrText>
        </w:r>
        <w:r w:rsidR="001020EC" w:rsidRPr="001020EC">
          <w:rPr>
            <w:rFonts w:hint="eastAsia"/>
            <w:noProof/>
          </w:rPr>
        </w:r>
        <w:r w:rsidR="001020EC" w:rsidRPr="001020EC">
          <w:rPr>
            <w:rFonts w:hint="eastAsia"/>
            <w:noProof/>
          </w:rPr>
          <w:fldChar w:fldCharType="separate"/>
        </w:r>
        <w:r w:rsidR="001020EC" w:rsidRPr="001020EC">
          <w:rPr>
            <w:noProof/>
          </w:rPr>
          <w:t>1</w:t>
        </w:r>
        <w:r w:rsidR="001020EC" w:rsidRPr="001020EC">
          <w:rPr>
            <w:rFonts w:hint="eastAsia"/>
            <w:noProof/>
          </w:rPr>
          <w:fldChar w:fldCharType="end"/>
        </w:r>
      </w:hyperlink>
    </w:p>
    <w:p w14:paraId="62A8310B" w14:textId="4D64EA76" w:rsidR="001020EC" w:rsidRPr="001020EC" w:rsidRDefault="004A3D5A">
      <w:pPr>
        <w:pStyle w:val="11"/>
        <w:tabs>
          <w:tab w:val="right" w:leader="dot" w:pos="9344"/>
        </w:tabs>
        <w:rPr>
          <w:rFonts w:asciiTheme="minorHAnsi" w:eastAsiaTheme="minorEastAsia" w:hAnsiTheme="minorHAnsi" w:cstheme="minorBidi"/>
          <w:noProof/>
          <w:szCs w:val="22"/>
          <w14:ligatures w14:val="standardContextual"/>
        </w:rPr>
      </w:pPr>
      <w:hyperlink w:anchor="_Toc184124608" w:history="1">
        <w:r w:rsidR="001020EC" w:rsidRPr="001020EC">
          <w:rPr>
            <w:rStyle w:val="afffff"/>
            <w:rFonts w:hint="eastAsia"/>
            <w:noProof/>
          </w:rPr>
          <w:t>3</w:t>
        </w:r>
        <w:r w:rsidR="001020EC">
          <w:rPr>
            <w:rStyle w:val="afffff"/>
            <w:noProof/>
          </w:rPr>
          <w:t xml:space="preserve"> </w:t>
        </w:r>
        <w:r w:rsidR="001020EC" w:rsidRPr="001020EC">
          <w:rPr>
            <w:rStyle w:val="afffff"/>
            <w:rFonts w:hint="eastAsia"/>
            <w:noProof/>
          </w:rPr>
          <w:t xml:space="preserve"> 术语和定义</w:t>
        </w:r>
        <w:r w:rsidR="001020EC" w:rsidRPr="001020EC">
          <w:rPr>
            <w:rFonts w:hint="eastAsia"/>
            <w:noProof/>
          </w:rPr>
          <w:tab/>
        </w:r>
        <w:r w:rsidR="001020EC" w:rsidRPr="001020EC">
          <w:rPr>
            <w:rFonts w:hint="eastAsia"/>
            <w:noProof/>
          </w:rPr>
          <w:fldChar w:fldCharType="begin"/>
        </w:r>
        <w:r w:rsidR="001020EC" w:rsidRPr="001020EC">
          <w:rPr>
            <w:rFonts w:hint="eastAsia"/>
            <w:noProof/>
          </w:rPr>
          <w:instrText xml:space="preserve"> </w:instrText>
        </w:r>
        <w:r w:rsidR="001020EC" w:rsidRPr="001020EC">
          <w:rPr>
            <w:noProof/>
          </w:rPr>
          <w:instrText>PAGEREF _Toc184124608 \h</w:instrText>
        </w:r>
        <w:r w:rsidR="001020EC" w:rsidRPr="001020EC">
          <w:rPr>
            <w:rFonts w:hint="eastAsia"/>
            <w:noProof/>
          </w:rPr>
          <w:instrText xml:space="preserve"> </w:instrText>
        </w:r>
        <w:r w:rsidR="001020EC" w:rsidRPr="001020EC">
          <w:rPr>
            <w:rFonts w:hint="eastAsia"/>
            <w:noProof/>
          </w:rPr>
        </w:r>
        <w:r w:rsidR="001020EC" w:rsidRPr="001020EC">
          <w:rPr>
            <w:rFonts w:hint="eastAsia"/>
            <w:noProof/>
          </w:rPr>
          <w:fldChar w:fldCharType="separate"/>
        </w:r>
        <w:r w:rsidR="001020EC" w:rsidRPr="001020EC">
          <w:rPr>
            <w:noProof/>
          </w:rPr>
          <w:t>1</w:t>
        </w:r>
        <w:r w:rsidR="001020EC" w:rsidRPr="001020EC">
          <w:rPr>
            <w:rFonts w:hint="eastAsia"/>
            <w:noProof/>
          </w:rPr>
          <w:fldChar w:fldCharType="end"/>
        </w:r>
      </w:hyperlink>
    </w:p>
    <w:p w14:paraId="7D6096E4" w14:textId="608C69A3" w:rsidR="001020EC" w:rsidRPr="001020EC" w:rsidRDefault="004A3D5A">
      <w:pPr>
        <w:pStyle w:val="11"/>
        <w:tabs>
          <w:tab w:val="right" w:leader="dot" w:pos="9344"/>
        </w:tabs>
        <w:rPr>
          <w:rFonts w:asciiTheme="minorHAnsi" w:eastAsiaTheme="minorEastAsia" w:hAnsiTheme="minorHAnsi" w:cstheme="minorBidi"/>
          <w:noProof/>
          <w:szCs w:val="22"/>
          <w14:ligatures w14:val="standardContextual"/>
        </w:rPr>
      </w:pPr>
      <w:hyperlink w:anchor="_Toc184124615" w:history="1">
        <w:r w:rsidR="001020EC" w:rsidRPr="001020EC">
          <w:rPr>
            <w:rStyle w:val="afffff"/>
            <w:rFonts w:hint="eastAsia"/>
            <w:noProof/>
          </w:rPr>
          <w:t>4</w:t>
        </w:r>
        <w:r w:rsidR="001020EC">
          <w:rPr>
            <w:rStyle w:val="afffff"/>
            <w:noProof/>
          </w:rPr>
          <w:t xml:space="preserve"> </w:t>
        </w:r>
        <w:r w:rsidR="001020EC" w:rsidRPr="001020EC">
          <w:rPr>
            <w:rStyle w:val="afffff"/>
            <w:rFonts w:hint="eastAsia"/>
            <w:noProof/>
          </w:rPr>
          <w:t xml:space="preserve"> 基本要求</w:t>
        </w:r>
        <w:r w:rsidR="001020EC" w:rsidRPr="001020EC">
          <w:rPr>
            <w:rFonts w:hint="eastAsia"/>
            <w:noProof/>
          </w:rPr>
          <w:tab/>
        </w:r>
        <w:r w:rsidR="001020EC" w:rsidRPr="001020EC">
          <w:rPr>
            <w:rFonts w:hint="eastAsia"/>
            <w:noProof/>
          </w:rPr>
          <w:fldChar w:fldCharType="begin"/>
        </w:r>
        <w:r w:rsidR="001020EC" w:rsidRPr="001020EC">
          <w:rPr>
            <w:rFonts w:hint="eastAsia"/>
            <w:noProof/>
          </w:rPr>
          <w:instrText xml:space="preserve"> </w:instrText>
        </w:r>
        <w:r w:rsidR="001020EC" w:rsidRPr="001020EC">
          <w:rPr>
            <w:noProof/>
          </w:rPr>
          <w:instrText>PAGEREF _Toc184124615 \h</w:instrText>
        </w:r>
        <w:r w:rsidR="001020EC" w:rsidRPr="001020EC">
          <w:rPr>
            <w:rFonts w:hint="eastAsia"/>
            <w:noProof/>
          </w:rPr>
          <w:instrText xml:space="preserve"> </w:instrText>
        </w:r>
        <w:r w:rsidR="001020EC" w:rsidRPr="001020EC">
          <w:rPr>
            <w:rFonts w:hint="eastAsia"/>
            <w:noProof/>
          </w:rPr>
        </w:r>
        <w:r w:rsidR="001020EC" w:rsidRPr="001020EC">
          <w:rPr>
            <w:rFonts w:hint="eastAsia"/>
            <w:noProof/>
          </w:rPr>
          <w:fldChar w:fldCharType="separate"/>
        </w:r>
        <w:r w:rsidR="001020EC" w:rsidRPr="001020EC">
          <w:rPr>
            <w:noProof/>
          </w:rPr>
          <w:t>2</w:t>
        </w:r>
        <w:r w:rsidR="001020EC" w:rsidRPr="001020EC">
          <w:rPr>
            <w:rFonts w:hint="eastAsia"/>
            <w:noProof/>
          </w:rPr>
          <w:fldChar w:fldCharType="end"/>
        </w:r>
      </w:hyperlink>
    </w:p>
    <w:p w14:paraId="7D89A222" w14:textId="27CF92F5" w:rsidR="001020EC" w:rsidRPr="001020EC" w:rsidRDefault="004A3D5A">
      <w:pPr>
        <w:pStyle w:val="24"/>
        <w:rPr>
          <w:rFonts w:asciiTheme="minorHAnsi" w:eastAsiaTheme="minorEastAsia" w:hAnsiTheme="minorHAnsi" w:cstheme="minorBidi"/>
          <w:noProof/>
          <w:szCs w:val="22"/>
          <w14:ligatures w14:val="standardContextual"/>
        </w:rPr>
      </w:pPr>
      <w:hyperlink w:anchor="_Toc184124616" w:history="1">
        <w:r w:rsidR="001020EC" w:rsidRPr="001020EC">
          <w:rPr>
            <w:rStyle w:val="afffff"/>
            <w:rFonts w:hint="eastAsia"/>
            <w:noProof/>
          </w:rPr>
          <w:t>4.1</w:t>
        </w:r>
        <w:r w:rsidR="001020EC">
          <w:rPr>
            <w:rStyle w:val="afffff"/>
            <w:noProof/>
          </w:rPr>
          <w:t xml:space="preserve"> </w:t>
        </w:r>
        <w:r w:rsidR="001020EC" w:rsidRPr="001020EC">
          <w:rPr>
            <w:rStyle w:val="afffff"/>
            <w:rFonts w:hint="eastAsia"/>
            <w:noProof/>
          </w:rPr>
          <w:t xml:space="preserve"> 机构及人员要求</w:t>
        </w:r>
        <w:r w:rsidR="001020EC" w:rsidRPr="001020EC">
          <w:rPr>
            <w:rFonts w:hint="eastAsia"/>
            <w:noProof/>
          </w:rPr>
          <w:tab/>
        </w:r>
        <w:r w:rsidR="001020EC" w:rsidRPr="001020EC">
          <w:rPr>
            <w:rFonts w:hint="eastAsia"/>
            <w:noProof/>
          </w:rPr>
          <w:fldChar w:fldCharType="begin"/>
        </w:r>
        <w:r w:rsidR="001020EC" w:rsidRPr="001020EC">
          <w:rPr>
            <w:rFonts w:hint="eastAsia"/>
            <w:noProof/>
          </w:rPr>
          <w:instrText xml:space="preserve"> </w:instrText>
        </w:r>
        <w:r w:rsidR="001020EC" w:rsidRPr="001020EC">
          <w:rPr>
            <w:noProof/>
          </w:rPr>
          <w:instrText>PAGEREF _Toc184124616 \h</w:instrText>
        </w:r>
        <w:r w:rsidR="001020EC" w:rsidRPr="001020EC">
          <w:rPr>
            <w:rFonts w:hint="eastAsia"/>
            <w:noProof/>
          </w:rPr>
          <w:instrText xml:space="preserve"> </w:instrText>
        </w:r>
        <w:r w:rsidR="001020EC" w:rsidRPr="001020EC">
          <w:rPr>
            <w:rFonts w:hint="eastAsia"/>
            <w:noProof/>
          </w:rPr>
        </w:r>
        <w:r w:rsidR="001020EC" w:rsidRPr="001020EC">
          <w:rPr>
            <w:rFonts w:hint="eastAsia"/>
            <w:noProof/>
          </w:rPr>
          <w:fldChar w:fldCharType="separate"/>
        </w:r>
        <w:r w:rsidR="001020EC" w:rsidRPr="001020EC">
          <w:rPr>
            <w:noProof/>
          </w:rPr>
          <w:t>2</w:t>
        </w:r>
        <w:r w:rsidR="001020EC" w:rsidRPr="001020EC">
          <w:rPr>
            <w:rFonts w:hint="eastAsia"/>
            <w:noProof/>
          </w:rPr>
          <w:fldChar w:fldCharType="end"/>
        </w:r>
      </w:hyperlink>
    </w:p>
    <w:p w14:paraId="46603FDD" w14:textId="4FCEA577" w:rsidR="001020EC" w:rsidRPr="001020EC" w:rsidRDefault="004A3D5A">
      <w:pPr>
        <w:pStyle w:val="24"/>
        <w:rPr>
          <w:rFonts w:asciiTheme="minorHAnsi" w:eastAsiaTheme="minorEastAsia" w:hAnsiTheme="minorHAnsi" w:cstheme="minorBidi"/>
          <w:noProof/>
          <w:szCs w:val="22"/>
          <w14:ligatures w14:val="standardContextual"/>
        </w:rPr>
      </w:pPr>
      <w:hyperlink w:anchor="_Toc184124619" w:history="1">
        <w:r w:rsidR="001020EC" w:rsidRPr="001020EC">
          <w:rPr>
            <w:rStyle w:val="afffff"/>
            <w:rFonts w:hint="eastAsia"/>
            <w:noProof/>
          </w:rPr>
          <w:t>4.2</w:t>
        </w:r>
        <w:r w:rsidR="001020EC">
          <w:rPr>
            <w:rStyle w:val="afffff"/>
            <w:noProof/>
          </w:rPr>
          <w:t xml:space="preserve"> </w:t>
        </w:r>
        <w:r w:rsidR="001020EC" w:rsidRPr="001020EC">
          <w:rPr>
            <w:rStyle w:val="afffff"/>
            <w:rFonts w:hint="eastAsia"/>
            <w:noProof/>
          </w:rPr>
          <w:t xml:space="preserve"> 资料要求</w:t>
        </w:r>
        <w:r w:rsidR="001020EC" w:rsidRPr="001020EC">
          <w:rPr>
            <w:rFonts w:hint="eastAsia"/>
            <w:noProof/>
          </w:rPr>
          <w:tab/>
        </w:r>
        <w:r w:rsidR="001020EC" w:rsidRPr="001020EC">
          <w:rPr>
            <w:rFonts w:hint="eastAsia"/>
            <w:noProof/>
          </w:rPr>
          <w:fldChar w:fldCharType="begin"/>
        </w:r>
        <w:r w:rsidR="001020EC" w:rsidRPr="001020EC">
          <w:rPr>
            <w:rFonts w:hint="eastAsia"/>
            <w:noProof/>
          </w:rPr>
          <w:instrText xml:space="preserve"> </w:instrText>
        </w:r>
        <w:r w:rsidR="001020EC" w:rsidRPr="001020EC">
          <w:rPr>
            <w:noProof/>
          </w:rPr>
          <w:instrText>PAGEREF _Toc184124619 \h</w:instrText>
        </w:r>
        <w:r w:rsidR="001020EC" w:rsidRPr="001020EC">
          <w:rPr>
            <w:rFonts w:hint="eastAsia"/>
            <w:noProof/>
          </w:rPr>
          <w:instrText xml:space="preserve"> </w:instrText>
        </w:r>
        <w:r w:rsidR="001020EC" w:rsidRPr="001020EC">
          <w:rPr>
            <w:rFonts w:hint="eastAsia"/>
            <w:noProof/>
          </w:rPr>
        </w:r>
        <w:r w:rsidR="001020EC" w:rsidRPr="001020EC">
          <w:rPr>
            <w:rFonts w:hint="eastAsia"/>
            <w:noProof/>
          </w:rPr>
          <w:fldChar w:fldCharType="separate"/>
        </w:r>
        <w:r w:rsidR="001020EC" w:rsidRPr="001020EC">
          <w:rPr>
            <w:noProof/>
          </w:rPr>
          <w:t>2</w:t>
        </w:r>
        <w:r w:rsidR="001020EC" w:rsidRPr="001020EC">
          <w:rPr>
            <w:rFonts w:hint="eastAsia"/>
            <w:noProof/>
          </w:rPr>
          <w:fldChar w:fldCharType="end"/>
        </w:r>
      </w:hyperlink>
    </w:p>
    <w:p w14:paraId="757EDA5F" w14:textId="5FAA64C3" w:rsidR="001020EC" w:rsidRPr="001020EC" w:rsidRDefault="004A3D5A">
      <w:pPr>
        <w:pStyle w:val="24"/>
        <w:rPr>
          <w:rFonts w:asciiTheme="minorHAnsi" w:eastAsiaTheme="minorEastAsia" w:hAnsiTheme="minorHAnsi" w:cstheme="minorBidi"/>
          <w:noProof/>
          <w:szCs w:val="22"/>
          <w14:ligatures w14:val="standardContextual"/>
        </w:rPr>
      </w:pPr>
      <w:hyperlink w:anchor="_Toc184124620" w:history="1">
        <w:r w:rsidR="001020EC" w:rsidRPr="001020EC">
          <w:rPr>
            <w:rStyle w:val="afffff"/>
            <w:rFonts w:hint="eastAsia"/>
            <w:noProof/>
          </w:rPr>
          <w:t>4.3</w:t>
        </w:r>
        <w:r w:rsidR="001020EC">
          <w:rPr>
            <w:rStyle w:val="afffff"/>
            <w:noProof/>
          </w:rPr>
          <w:t xml:space="preserve"> </w:t>
        </w:r>
        <w:r w:rsidR="001020EC" w:rsidRPr="001020EC">
          <w:rPr>
            <w:rStyle w:val="afffff"/>
            <w:rFonts w:hint="eastAsia"/>
            <w:noProof/>
          </w:rPr>
          <w:t xml:space="preserve"> 安全要求</w:t>
        </w:r>
        <w:r w:rsidR="001020EC" w:rsidRPr="001020EC">
          <w:rPr>
            <w:rFonts w:hint="eastAsia"/>
            <w:noProof/>
          </w:rPr>
          <w:tab/>
        </w:r>
        <w:r w:rsidR="001020EC" w:rsidRPr="001020EC">
          <w:rPr>
            <w:rFonts w:hint="eastAsia"/>
            <w:noProof/>
          </w:rPr>
          <w:fldChar w:fldCharType="begin"/>
        </w:r>
        <w:r w:rsidR="001020EC" w:rsidRPr="001020EC">
          <w:rPr>
            <w:rFonts w:hint="eastAsia"/>
            <w:noProof/>
          </w:rPr>
          <w:instrText xml:space="preserve"> </w:instrText>
        </w:r>
        <w:r w:rsidR="001020EC" w:rsidRPr="001020EC">
          <w:rPr>
            <w:noProof/>
          </w:rPr>
          <w:instrText>PAGEREF _Toc184124620 \h</w:instrText>
        </w:r>
        <w:r w:rsidR="001020EC" w:rsidRPr="001020EC">
          <w:rPr>
            <w:rFonts w:hint="eastAsia"/>
            <w:noProof/>
          </w:rPr>
          <w:instrText xml:space="preserve"> </w:instrText>
        </w:r>
        <w:r w:rsidR="001020EC" w:rsidRPr="001020EC">
          <w:rPr>
            <w:rFonts w:hint="eastAsia"/>
            <w:noProof/>
          </w:rPr>
        </w:r>
        <w:r w:rsidR="001020EC" w:rsidRPr="001020EC">
          <w:rPr>
            <w:rFonts w:hint="eastAsia"/>
            <w:noProof/>
          </w:rPr>
          <w:fldChar w:fldCharType="separate"/>
        </w:r>
        <w:r w:rsidR="001020EC" w:rsidRPr="001020EC">
          <w:rPr>
            <w:noProof/>
          </w:rPr>
          <w:t>2</w:t>
        </w:r>
        <w:r w:rsidR="001020EC" w:rsidRPr="001020EC">
          <w:rPr>
            <w:rFonts w:hint="eastAsia"/>
            <w:noProof/>
          </w:rPr>
          <w:fldChar w:fldCharType="end"/>
        </w:r>
      </w:hyperlink>
    </w:p>
    <w:p w14:paraId="1E8C6D98" w14:textId="291D56EB" w:rsidR="001020EC" w:rsidRPr="001020EC" w:rsidRDefault="004A3D5A">
      <w:pPr>
        <w:pStyle w:val="11"/>
        <w:tabs>
          <w:tab w:val="right" w:leader="dot" w:pos="9344"/>
        </w:tabs>
        <w:rPr>
          <w:rFonts w:asciiTheme="minorHAnsi" w:eastAsiaTheme="minorEastAsia" w:hAnsiTheme="minorHAnsi" w:cstheme="minorBidi"/>
          <w:noProof/>
          <w:szCs w:val="22"/>
          <w14:ligatures w14:val="standardContextual"/>
        </w:rPr>
      </w:pPr>
      <w:hyperlink w:anchor="_Toc184124621" w:history="1">
        <w:r w:rsidR="001020EC" w:rsidRPr="001020EC">
          <w:rPr>
            <w:rStyle w:val="afffff"/>
            <w:rFonts w:hint="eastAsia"/>
            <w:noProof/>
          </w:rPr>
          <w:t>5</w:t>
        </w:r>
        <w:r w:rsidR="001020EC">
          <w:rPr>
            <w:rStyle w:val="afffff"/>
            <w:noProof/>
          </w:rPr>
          <w:t xml:space="preserve"> </w:t>
        </w:r>
        <w:r w:rsidR="001020EC" w:rsidRPr="001020EC">
          <w:rPr>
            <w:rStyle w:val="afffff"/>
            <w:rFonts w:hint="eastAsia"/>
            <w:noProof/>
          </w:rPr>
          <w:t xml:space="preserve"> 管理要求</w:t>
        </w:r>
        <w:r w:rsidR="001020EC" w:rsidRPr="001020EC">
          <w:rPr>
            <w:rFonts w:hint="eastAsia"/>
            <w:noProof/>
          </w:rPr>
          <w:tab/>
        </w:r>
        <w:r w:rsidR="001020EC" w:rsidRPr="001020EC">
          <w:rPr>
            <w:rFonts w:hint="eastAsia"/>
            <w:noProof/>
          </w:rPr>
          <w:fldChar w:fldCharType="begin"/>
        </w:r>
        <w:r w:rsidR="001020EC" w:rsidRPr="001020EC">
          <w:rPr>
            <w:rFonts w:hint="eastAsia"/>
            <w:noProof/>
          </w:rPr>
          <w:instrText xml:space="preserve"> </w:instrText>
        </w:r>
        <w:r w:rsidR="001020EC" w:rsidRPr="001020EC">
          <w:rPr>
            <w:noProof/>
          </w:rPr>
          <w:instrText>PAGEREF _Toc184124621 \h</w:instrText>
        </w:r>
        <w:r w:rsidR="001020EC" w:rsidRPr="001020EC">
          <w:rPr>
            <w:rFonts w:hint="eastAsia"/>
            <w:noProof/>
          </w:rPr>
          <w:instrText xml:space="preserve"> </w:instrText>
        </w:r>
        <w:r w:rsidR="001020EC" w:rsidRPr="001020EC">
          <w:rPr>
            <w:rFonts w:hint="eastAsia"/>
            <w:noProof/>
          </w:rPr>
        </w:r>
        <w:r w:rsidR="001020EC" w:rsidRPr="001020EC">
          <w:rPr>
            <w:rFonts w:hint="eastAsia"/>
            <w:noProof/>
          </w:rPr>
          <w:fldChar w:fldCharType="separate"/>
        </w:r>
        <w:r w:rsidR="001020EC" w:rsidRPr="001020EC">
          <w:rPr>
            <w:noProof/>
          </w:rPr>
          <w:t>2</w:t>
        </w:r>
        <w:r w:rsidR="001020EC" w:rsidRPr="001020EC">
          <w:rPr>
            <w:rFonts w:hint="eastAsia"/>
            <w:noProof/>
          </w:rPr>
          <w:fldChar w:fldCharType="end"/>
        </w:r>
      </w:hyperlink>
    </w:p>
    <w:p w14:paraId="0C551618" w14:textId="18FFCFB6" w:rsidR="001020EC" w:rsidRPr="001020EC" w:rsidRDefault="004A3D5A">
      <w:pPr>
        <w:pStyle w:val="24"/>
        <w:rPr>
          <w:rFonts w:asciiTheme="minorHAnsi" w:eastAsiaTheme="minorEastAsia" w:hAnsiTheme="minorHAnsi" w:cstheme="minorBidi"/>
          <w:noProof/>
          <w:szCs w:val="22"/>
          <w14:ligatures w14:val="standardContextual"/>
        </w:rPr>
      </w:pPr>
      <w:hyperlink w:anchor="_Toc184124622" w:history="1">
        <w:r w:rsidR="001020EC" w:rsidRPr="001020EC">
          <w:rPr>
            <w:rStyle w:val="afffff"/>
            <w:rFonts w:hint="eastAsia"/>
            <w:noProof/>
          </w:rPr>
          <w:t>5.1</w:t>
        </w:r>
        <w:r w:rsidR="001020EC">
          <w:rPr>
            <w:rStyle w:val="afffff"/>
            <w:noProof/>
          </w:rPr>
          <w:t xml:space="preserve"> </w:t>
        </w:r>
        <w:r w:rsidR="001020EC" w:rsidRPr="001020EC">
          <w:rPr>
            <w:rStyle w:val="afffff"/>
            <w:rFonts w:hint="eastAsia"/>
            <w:noProof/>
          </w:rPr>
          <w:t xml:space="preserve"> 设施设备类别</w:t>
        </w:r>
        <w:r w:rsidR="001020EC" w:rsidRPr="001020EC">
          <w:rPr>
            <w:rFonts w:hint="eastAsia"/>
            <w:noProof/>
          </w:rPr>
          <w:tab/>
        </w:r>
        <w:r w:rsidR="001020EC" w:rsidRPr="001020EC">
          <w:rPr>
            <w:rFonts w:hint="eastAsia"/>
            <w:noProof/>
          </w:rPr>
          <w:fldChar w:fldCharType="begin"/>
        </w:r>
        <w:r w:rsidR="001020EC" w:rsidRPr="001020EC">
          <w:rPr>
            <w:rFonts w:hint="eastAsia"/>
            <w:noProof/>
          </w:rPr>
          <w:instrText xml:space="preserve"> </w:instrText>
        </w:r>
        <w:r w:rsidR="001020EC" w:rsidRPr="001020EC">
          <w:rPr>
            <w:noProof/>
          </w:rPr>
          <w:instrText>PAGEREF _Toc184124622 \h</w:instrText>
        </w:r>
        <w:r w:rsidR="001020EC" w:rsidRPr="001020EC">
          <w:rPr>
            <w:rFonts w:hint="eastAsia"/>
            <w:noProof/>
          </w:rPr>
          <w:instrText xml:space="preserve"> </w:instrText>
        </w:r>
        <w:r w:rsidR="001020EC" w:rsidRPr="001020EC">
          <w:rPr>
            <w:rFonts w:hint="eastAsia"/>
            <w:noProof/>
          </w:rPr>
        </w:r>
        <w:r w:rsidR="001020EC" w:rsidRPr="001020EC">
          <w:rPr>
            <w:rFonts w:hint="eastAsia"/>
            <w:noProof/>
          </w:rPr>
          <w:fldChar w:fldCharType="separate"/>
        </w:r>
        <w:r w:rsidR="001020EC" w:rsidRPr="001020EC">
          <w:rPr>
            <w:noProof/>
          </w:rPr>
          <w:t>2</w:t>
        </w:r>
        <w:r w:rsidR="001020EC" w:rsidRPr="001020EC">
          <w:rPr>
            <w:rFonts w:hint="eastAsia"/>
            <w:noProof/>
          </w:rPr>
          <w:fldChar w:fldCharType="end"/>
        </w:r>
      </w:hyperlink>
    </w:p>
    <w:p w14:paraId="373D6133" w14:textId="4F19D6D0" w:rsidR="001020EC" w:rsidRPr="001020EC" w:rsidRDefault="004A3D5A">
      <w:pPr>
        <w:pStyle w:val="24"/>
        <w:rPr>
          <w:rFonts w:asciiTheme="minorHAnsi" w:eastAsiaTheme="minorEastAsia" w:hAnsiTheme="minorHAnsi" w:cstheme="minorBidi"/>
          <w:noProof/>
          <w:szCs w:val="22"/>
          <w14:ligatures w14:val="standardContextual"/>
        </w:rPr>
      </w:pPr>
      <w:hyperlink w:anchor="_Toc184124623" w:history="1">
        <w:r w:rsidR="001020EC" w:rsidRPr="001020EC">
          <w:rPr>
            <w:rStyle w:val="afffff"/>
            <w:rFonts w:hint="eastAsia"/>
            <w:noProof/>
          </w:rPr>
          <w:t>5.2</w:t>
        </w:r>
        <w:r w:rsidR="001020EC">
          <w:rPr>
            <w:rStyle w:val="afffff"/>
            <w:noProof/>
          </w:rPr>
          <w:t xml:space="preserve"> </w:t>
        </w:r>
        <w:r w:rsidR="001020EC" w:rsidRPr="001020EC">
          <w:rPr>
            <w:rStyle w:val="afffff"/>
            <w:rFonts w:hint="eastAsia"/>
            <w:noProof/>
          </w:rPr>
          <w:t xml:space="preserve"> 储藏类设施设备</w:t>
        </w:r>
        <w:r w:rsidR="001020EC" w:rsidRPr="001020EC">
          <w:rPr>
            <w:rFonts w:hint="eastAsia"/>
            <w:noProof/>
          </w:rPr>
          <w:tab/>
        </w:r>
        <w:r w:rsidR="001020EC" w:rsidRPr="001020EC">
          <w:rPr>
            <w:rFonts w:hint="eastAsia"/>
            <w:noProof/>
          </w:rPr>
          <w:fldChar w:fldCharType="begin"/>
        </w:r>
        <w:r w:rsidR="001020EC" w:rsidRPr="001020EC">
          <w:rPr>
            <w:rFonts w:hint="eastAsia"/>
            <w:noProof/>
          </w:rPr>
          <w:instrText xml:space="preserve"> </w:instrText>
        </w:r>
        <w:r w:rsidR="001020EC" w:rsidRPr="001020EC">
          <w:rPr>
            <w:noProof/>
          </w:rPr>
          <w:instrText>PAGEREF _Toc184124623 \h</w:instrText>
        </w:r>
        <w:r w:rsidR="001020EC" w:rsidRPr="001020EC">
          <w:rPr>
            <w:rFonts w:hint="eastAsia"/>
            <w:noProof/>
          </w:rPr>
          <w:instrText xml:space="preserve"> </w:instrText>
        </w:r>
        <w:r w:rsidR="001020EC" w:rsidRPr="001020EC">
          <w:rPr>
            <w:rFonts w:hint="eastAsia"/>
            <w:noProof/>
          </w:rPr>
        </w:r>
        <w:r w:rsidR="001020EC" w:rsidRPr="001020EC">
          <w:rPr>
            <w:rFonts w:hint="eastAsia"/>
            <w:noProof/>
          </w:rPr>
          <w:fldChar w:fldCharType="separate"/>
        </w:r>
        <w:r w:rsidR="001020EC" w:rsidRPr="001020EC">
          <w:rPr>
            <w:noProof/>
          </w:rPr>
          <w:t>2</w:t>
        </w:r>
        <w:r w:rsidR="001020EC" w:rsidRPr="001020EC">
          <w:rPr>
            <w:rFonts w:hint="eastAsia"/>
            <w:noProof/>
          </w:rPr>
          <w:fldChar w:fldCharType="end"/>
        </w:r>
      </w:hyperlink>
    </w:p>
    <w:p w14:paraId="76349991" w14:textId="109E6487" w:rsidR="001020EC" w:rsidRPr="001020EC" w:rsidRDefault="004A3D5A">
      <w:pPr>
        <w:pStyle w:val="24"/>
        <w:rPr>
          <w:rFonts w:asciiTheme="minorHAnsi" w:eastAsiaTheme="minorEastAsia" w:hAnsiTheme="minorHAnsi" w:cstheme="minorBidi"/>
          <w:noProof/>
          <w:szCs w:val="22"/>
          <w14:ligatures w14:val="standardContextual"/>
        </w:rPr>
      </w:pPr>
      <w:hyperlink w:anchor="_Toc184124628" w:history="1">
        <w:r w:rsidR="001020EC" w:rsidRPr="001020EC">
          <w:rPr>
            <w:rStyle w:val="afffff"/>
            <w:rFonts w:hint="eastAsia"/>
            <w:noProof/>
          </w:rPr>
          <w:t>5.3</w:t>
        </w:r>
        <w:r w:rsidR="001020EC">
          <w:rPr>
            <w:rStyle w:val="afffff"/>
            <w:noProof/>
          </w:rPr>
          <w:t xml:space="preserve"> </w:t>
        </w:r>
        <w:r w:rsidR="001020EC" w:rsidRPr="001020EC">
          <w:rPr>
            <w:rStyle w:val="afffff"/>
            <w:rFonts w:hint="eastAsia"/>
            <w:noProof/>
          </w:rPr>
          <w:t xml:space="preserve"> 展览类设施设备</w:t>
        </w:r>
        <w:r w:rsidR="001020EC" w:rsidRPr="001020EC">
          <w:rPr>
            <w:rFonts w:hint="eastAsia"/>
            <w:noProof/>
          </w:rPr>
          <w:tab/>
        </w:r>
        <w:r w:rsidR="001020EC" w:rsidRPr="001020EC">
          <w:rPr>
            <w:rFonts w:hint="eastAsia"/>
            <w:noProof/>
          </w:rPr>
          <w:fldChar w:fldCharType="begin"/>
        </w:r>
        <w:r w:rsidR="001020EC" w:rsidRPr="001020EC">
          <w:rPr>
            <w:rFonts w:hint="eastAsia"/>
            <w:noProof/>
          </w:rPr>
          <w:instrText xml:space="preserve"> </w:instrText>
        </w:r>
        <w:r w:rsidR="001020EC" w:rsidRPr="001020EC">
          <w:rPr>
            <w:noProof/>
          </w:rPr>
          <w:instrText>PAGEREF _Toc184124628 \h</w:instrText>
        </w:r>
        <w:r w:rsidR="001020EC" w:rsidRPr="001020EC">
          <w:rPr>
            <w:rFonts w:hint="eastAsia"/>
            <w:noProof/>
          </w:rPr>
          <w:instrText xml:space="preserve"> </w:instrText>
        </w:r>
        <w:r w:rsidR="001020EC" w:rsidRPr="001020EC">
          <w:rPr>
            <w:rFonts w:hint="eastAsia"/>
            <w:noProof/>
          </w:rPr>
        </w:r>
        <w:r w:rsidR="001020EC" w:rsidRPr="001020EC">
          <w:rPr>
            <w:rFonts w:hint="eastAsia"/>
            <w:noProof/>
          </w:rPr>
          <w:fldChar w:fldCharType="separate"/>
        </w:r>
        <w:r w:rsidR="001020EC" w:rsidRPr="001020EC">
          <w:rPr>
            <w:noProof/>
          </w:rPr>
          <w:t>3</w:t>
        </w:r>
        <w:r w:rsidR="001020EC" w:rsidRPr="001020EC">
          <w:rPr>
            <w:rFonts w:hint="eastAsia"/>
            <w:noProof/>
          </w:rPr>
          <w:fldChar w:fldCharType="end"/>
        </w:r>
      </w:hyperlink>
    </w:p>
    <w:p w14:paraId="0077EC4F" w14:textId="4B180DC2" w:rsidR="001020EC" w:rsidRPr="001020EC" w:rsidRDefault="004A3D5A">
      <w:pPr>
        <w:pStyle w:val="24"/>
        <w:rPr>
          <w:rFonts w:asciiTheme="minorHAnsi" w:eastAsiaTheme="minorEastAsia" w:hAnsiTheme="minorHAnsi" w:cstheme="minorBidi"/>
          <w:noProof/>
          <w:szCs w:val="22"/>
          <w14:ligatures w14:val="standardContextual"/>
        </w:rPr>
      </w:pPr>
      <w:hyperlink w:anchor="_Toc184124633" w:history="1">
        <w:r w:rsidR="001020EC" w:rsidRPr="001020EC">
          <w:rPr>
            <w:rStyle w:val="afffff"/>
            <w:rFonts w:hint="eastAsia"/>
            <w:noProof/>
          </w:rPr>
          <w:t>5.4</w:t>
        </w:r>
        <w:r w:rsidR="001020EC">
          <w:rPr>
            <w:rStyle w:val="afffff"/>
            <w:noProof/>
          </w:rPr>
          <w:t xml:space="preserve"> </w:t>
        </w:r>
        <w:r w:rsidR="001020EC" w:rsidRPr="001020EC">
          <w:rPr>
            <w:rStyle w:val="afffff"/>
            <w:rFonts w:hint="eastAsia"/>
            <w:noProof/>
          </w:rPr>
          <w:t xml:space="preserve"> 其他设施设备</w:t>
        </w:r>
        <w:r w:rsidR="001020EC" w:rsidRPr="001020EC">
          <w:rPr>
            <w:rFonts w:hint="eastAsia"/>
            <w:noProof/>
          </w:rPr>
          <w:tab/>
        </w:r>
        <w:r w:rsidR="001020EC" w:rsidRPr="001020EC">
          <w:rPr>
            <w:rFonts w:hint="eastAsia"/>
            <w:noProof/>
          </w:rPr>
          <w:fldChar w:fldCharType="begin"/>
        </w:r>
        <w:r w:rsidR="001020EC" w:rsidRPr="001020EC">
          <w:rPr>
            <w:rFonts w:hint="eastAsia"/>
            <w:noProof/>
          </w:rPr>
          <w:instrText xml:space="preserve"> </w:instrText>
        </w:r>
        <w:r w:rsidR="001020EC" w:rsidRPr="001020EC">
          <w:rPr>
            <w:noProof/>
          </w:rPr>
          <w:instrText>PAGEREF _Toc184124633 \h</w:instrText>
        </w:r>
        <w:r w:rsidR="001020EC" w:rsidRPr="001020EC">
          <w:rPr>
            <w:rFonts w:hint="eastAsia"/>
            <w:noProof/>
          </w:rPr>
          <w:instrText xml:space="preserve"> </w:instrText>
        </w:r>
        <w:r w:rsidR="001020EC" w:rsidRPr="001020EC">
          <w:rPr>
            <w:rFonts w:hint="eastAsia"/>
            <w:noProof/>
          </w:rPr>
        </w:r>
        <w:r w:rsidR="001020EC" w:rsidRPr="001020EC">
          <w:rPr>
            <w:rFonts w:hint="eastAsia"/>
            <w:noProof/>
          </w:rPr>
          <w:fldChar w:fldCharType="separate"/>
        </w:r>
        <w:r w:rsidR="001020EC" w:rsidRPr="001020EC">
          <w:rPr>
            <w:noProof/>
          </w:rPr>
          <w:t>4</w:t>
        </w:r>
        <w:r w:rsidR="001020EC" w:rsidRPr="001020EC">
          <w:rPr>
            <w:rFonts w:hint="eastAsia"/>
            <w:noProof/>
          </w:rPr>
          <w:fldChar w:fldCharType="end"/>
        </w:r>
      </w:hyperlink>
    </w:p>
    <w:p w14:paraId="2D74D9E2" w14:textId="6730480B" w:rsidR="001020EC" w:rsidRDefault="004A3D5A">
      <w:pPr>
        <w:pStyle w:val="11"/>
        <w:tabs>
          <w:tab w:val="right" w:leader="dot" w:pos="9344"/>
        </w:tabs>
        <w:rPr>
          <w:rStyle w:val="afffff"/>
          <w:noProof/>
        </w:rPr>
      </w:pPr>
      <w:hyperlink w:anchor="_Toc184124639" w:history="1">
        <w:r w:rsidR="001020EC" w:rsidRPr="001020EC">
          <w:rPr>
            <w:rStyle w:val="afffff"/>
            <w:rFonts w:hint="eastAsia"/>
            <w:noProof/>
          </w:rPr>
          <w:t>6</w:t>
        </w:r>
        <w:r w:rsidR="001020EC">
          <w:rPr>
            <w:rStyle w:val="afffff"/>
            <w:noProof/>
          </w:rPr>
          <w:t xml:space="preserve"> </w:t>
        </w:r>
        <w:r w:rsidR="001020EC" w:rsidRPr="001020EC">
          <w:rPr>
            <w:rStyle w:val="afffff"/>
            <w:rFonts w:hint="eastAsia"/>
            <w:noProof/>
          </w:rPr>
          <w:t xml:space="preserve"> 应急管理措施</w:t>
        </w:r>
        <w:r w:rsidR="001020EC" w:rsidRPr="001020EC">
          <w:rPr>
            <w:rFonts w:hint="eastAsia"/>
            <w:noProof/>
          </w:rPr>
          <w:tab/>
        </w:r>
        <w:r w:rsidR="001020EC" w:rsidRPr="001020EC">
          <w:rPr>
            <w:rFonts w:hint="eastAsia"/>
            <w:noProof/>
          </w:rPr>
          <w:fldChar w:fldCharType="begin"/>
        </w:r>
        <w:r w:rsidR="001020EC" w:rsidRPr="001020EC">
          <w:rPr>
            <w:rFonts w:hint="eastAsia"/>
            <w:noProof/>
          </w:rPr>
          <w:instrText xml:space="preserve"> </w:instrText>
        </w:r>
        <w:r w:rsidR="001020EC" w:rsidRPr="001020EC">
          <w:rPr>
            <w:noProof/>
          </w:rPr>
          <w:instrText>PAGEREF _Toc184124639 \h</w:instrText>
        </w:r>
        <w:r w:rsidR="001020EC" w:rsidRPr="001020EC">
          <w:rPr>
            <w:rFonts w:hint="eastAsia"/>
            <w:noProof/>
          </w:rPr>
          <w:instrText xml:space="preserve"> </w:instrText>
        </w:r>
        <w:r w:rsidR="001020EC" w:rsidRPr="001020EC">
          <w:rPr>
            <w:rFonts w:hint="eastAsia"/>
            <w:noProof/>
          </w:rPr>
        </w:r>
        <w:r w:rsidR="001020EC" w:rsidRPr="001020EC">
          <w:rPr>
            <w:rFonts w:hint="eastAsia"/>
            <w:noProof/>
          </w:rPr>
          <w:fldChar w:fldCharType="separate"/>
        </w:r>
        <w:r w:rsidR="001020EC" w:rsidRPr="001020EC">
          <w:rPr>
            <w:noProof/>
          </w:rPr>
          <w:t>6</w:t>
        </w:r>
        <w:r w:rsidR="001020EC" w:rsidRPr="001020EC">
          <w:rPr>
            <w:rFonts w:hint="eastAsia"/>
            <w:noProof/>
          </w:rPr>
          <w:fldChar w:fldCharType="end"/>
        </w:r>
      </w:hyperlink>
    </w:p>
    <w:p w14:paraId="3EB7D634" w14:textId="2431E77D" w:rsidR="001020EC" w:rsidRPr="001020EC" w:rsidRDefault="004A3D5A" w:rsidP="001020EC">
      <w:pPr>
        <w:pStyle w:val="11"/>
        <w:tabs>
          <w:tab w:val="right" w:leader="dot" w:pos="9344"/>
        </w:tabs>
        <w:rPr>
          <w:rFonts w:asciiTheme="minorHAnsi" w:eastAsiaTheme="minorEastAsia" w:hAnsiTheme="minorHAnsi" w:cstheme="minorBidi"/>
          <w:noProof/>
          <w:szCs w:val="22"/>
          <w14:ligatures w14:val="standardContextual"/>
        </w:rPr>
      </w:pPr>
      <w:hyperlink w:anchor="_Toc184124639" w:history="1">
        <w:r w:rsidR="001020EC">
          <w:rPr>
            <w:rStyle w:val="afffff"/>
            <w:rFonts w:hint="eastAsia"/>
            <w:noProof/>
          </w:rPr>
          <w:t>参考文献</w:t>
        </w:r>
        <w:r w:rsidR="001020EC" w:rsidRPr="001020EC">
          <w:rPr>
            <w:rFonts w:hint="eastAsia"/>
            <w:noProof/>
          </w:rPr>
          <w:tab/>
        </w:r>
        <w:r w:rsidR="001020EC">
          <w:rPr>
            <w:rFonts w:hint="eastAsia"/>
            <w:noProof/>
          </w:rPr>
          <w:t>7</w:t>
        </w:r>
      </w:hyperlink>
    </w:p>
    <w:p w14:paraId="29B55A3A" w14:textId="76D78C30" w:rsidR="001020EC" w:rsidRPr="001020EC" w:rsidRDefault="001020EC" w:rsidP="001020EC">
      <w:pPr>
        <w:pStyle w:val="afffffff"/>
        <w:spacing w:after="468"/>
        <w:sectPr w:rsidR="001020EC" w:rsidRPr="001020EC" w:rsidSect="001020EC">
          <w:headerReference w:type="even" r:id="rId15"/>
          <w:headerReference w:type="default" r:id="rId16"/>
          <w:footerReference w:type="default" r:id="rId17"/>
          <w:pgSz w:w="11906" w:h="16838"/>
          <w:pgMar w:top="1928" w:right="1134" w:bottom="1134" w:left="1134" w:header="1418" w:footer="1134" w:gutter="284"/>
          <w:pgNumType w:fmt="upperRoman" w:start="1"/>
          <w:cols w:space="720"/>
          <w:formProt w:val="0"/>
          <w:docGrid w:type="lines" w:linePitch="312"/>
        </w:sectPr>
      </w:pPr>
      <w:r w:rsidRPr="001020EC">
        <w:fldChar w:fldCharType="end"/>
      </w:r>
    </w:p>
    <w:p w14:paraId="5D353032" w14:textId="77777777" w:rsidR="00DD3D28" w:rsidRDefault="004A3D5A">
      <w:pPr>
        <w:pStyle w:val="a6"/>
        <w:spacing w:before="900" w:after="468"/>
      </w:pPr>
      <w:bookmarkStart w:id="26" w:name="_Toc184124605"/>
      <w:bookmarkStart w:id="27" w:name="BookMark2"/>
      <w:bookmarkEnd w:id="21"/>
      <w:r>
        <w:rPr>
          <w:spacing w:val="320"/>
        </w:rPr>
        <w:lastRenderedPageBreak/>
        <w:t>前</w:t>
      </w:r>
      <w:r>
        <w:t>言</w:t>
      </w:r>
      <w:bookmarkEnd w:id="22"/>
      <w:bookmarkEnd w:id="23"/>
      <w:bookmarkEnd w:id="24"/>
      <w:bookmarkEnd w:id="25"/>
      <w:bookmarkEnd w:id="26"/>
    </w:p>
    <w:p w14:paraId="5C86D065" w14:textId="77777777" w:rsidR="00DD3D28" w:rsidRDefault="004A3D5A">
      <w:pPr>
        <w:pStyle w:val="afffffa"/>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3AF5918D" w14:textId="77777777" w:rsidR="00DD3D28" w:rsidRDefault="004A3D5A">
      <w:pPr>
        <w:pStyle w:val="afffffa"/>
        <w:ind w:firstLine="420"/>
      </w:pPr>
      <w:r>
        <w:rPr>
          <w:rFonts w:hint="eastAsia"/>
        </w:rPr>
        <w:t>本文件由江苏省文化和旅游厅提出并组织实施。</w:t>
      </w:r>
    </w:p>
    <w:p w14:paraId="79DDA669" w14:textId="77777777" w:rsidR="00DD3D28" w:rsidRDefault="004A3D5A">
      <w:pPr>
        <w:pStyle w:val="afffffa"/>
        <w:ind w:firstLine="420"/>
      </w:pPr>
      <w:r>
        <w:rPr>
          <w:rFonts w:hint="eastAsia"/>
        </w:rPr>
        <w:t>本文件由江苏省文化和旅游标准化技术委员会归口。</w:t>
      </w:r>
    </w:p>
    <w:p w14:paraId="47460254" w14:textId="77777777" w:rsidR="00DD3D28" w:rsidRDefault="004A3D5A">
      <w:pPr>
        <w:pStyle w:val="afffffa"/>
        <w:ind w:firstLine="420"/>
      </w:pPr>
      <w:r>
        <w:rPr>
          <w:rFonts w:hint="eastAsia"/>
        </w:rPr>
        <w:t>本文件起草单位：江苏省美术馆、南京师范大学、中国中建设计研究院有限公司、南京维塔文化遗产保护技术有限公司</w:t>
      </w:r>
    </w:p>
    <w:p w14:paraId="63D437D7" w14:textId="758DF3A8" w:rsidR="00DD3D28" w:rsidRDefault="004A3D5A">
      <w:pPr>
        <w:pStyle w:val="afffffa"/>
        <w:ind w:firstLine="420"/>
      </w:pPr>
      <w:r>
        <w:rPr>
          <w:rFonts w:hint="eastAsia"/>
        </w:rPr>
        <w:t>本文件主要起草人：</w:t>
      </w:r>
      <w:r w:rsidR="00684CF3">
        <w:rPr>
          <w:rFonts w:hint="eastAsia"/>
        </w:rPr>
        <w:t>周盛、吴杰、杨杰、葛军莲、廖鹏、刘彤彬、陈岚、吴扬、盖剑鸣、陈铭</w:t>
      </w:r>
    </w:p>
    <w:p w14:paraId="5F6F1F73" w14:textId="77777777" w:rsidR="00DD3D28" w:rsidRDefault="00DD3D28">
      <w:pPr>
        <w:pStyle w:val="afffffa"/>
        <w:ind w:firstLine="420"/>
      </w:pPr>
    </w:p>
    <w:p w14:paraId="451671A4" w14:textId="77777777" w:rsidR="00DD3D28" w:rsidRDefault="00DD3D28">
      <w:pPr>
        <w:pStyle w:val="afffffa"/>
        <w:ind w:firstLine="420"/>
        <w:sectPr w:rsidR="00DD3D28">
          <w:pgSz w:w="11906" w:h="16838"/>
          <w:pgMar w:top="1928" w:right="1134" w:bottom="1134" w:left="1134" w:header="1418" w:footer="1134" w:gutter="284"/>
          <w:pgNumType w:fmt="upperRoman"/>
          <w:cols w:space="720"/>
          <w:formProt w:val="0"/>
          <w:docGrid w:type="lines" w:linePitch="312"/>
        </w:sectPr>
      </w:pPr>
    </w:p>
    <w:p w14:paraId="09128BE1" w14:textId="77777777" w:rsidR="00DD3D28" w:rsidRDefault="00DD3D28">
      <w:pPr>
        <w:spacing w:line="20" w:lineRule="exact"/>
        <w:jc w:val="center"/>
        <w:rPr>
          <w:rFonts w:ascii="黑体" w:eastAsia="黑体" w:hAnsi="黑体"/>
          <w:sz w:val="32"/>
          <w:szCs w:val="32"/>
        </w:rPr>
      </w:pPr>
      <w:bookmarkStart w:id="28" w:name="BookMark4"/>
      <w:bookmarkEnd w:id="27"/>
    </w:p>
    <w:p w14:paraId="278CEE69" w14:textId="77777777" w:rsidR="00DD3D28" w:rsidRDefault="00DD3D28">
      <w:pPr>
        <w:spacing w:line="20" w:lineRule="exact"/>
        <w:jc w:val="center"/>
        <w:rPr>
          <w:rFonts w:ascii="黑体" w:eastAsia="黑体" w:hAnsi="黑体"/>
          <w:sz w:val="32"/>
          <w:szCs w:val="32"/>
        </w:rPr>
      </w:pPr>
    </w:p>
    <w:p w14:paraId="64A30A68" w14:textId="77777777" w:rsidR="00DD3D28" w:rsidRDefault="004A3D5A">
      <w:pPr>
        <w:pStyle w:val="afffffffffd"/>
        <w:spacing w:beforeLines="1" w:before="3" w:afterLines="220" w:after="686"/>
      </w:pPr>
      <w:bookmarkStart w:id="29" w:name="NEW_STAND_NAME"/>
      <w:r>
        <w:rPr>
          <w:rFonts w:hint="eastAsia"/>
        </w:rPr>
        <w:t>公共美术馆重要设施设备运行管理规范</w:t>
      </w:r>
    </w:p>
    <w:p w14:paraId="5DD336EF" w14:textId="77777777" w:rsidR="00DD3D28" w:rsidRDefault="004A3D5A">
      <w:pPr>
        <w:pStyle w:val="affc"/>
        <w:spacing w:before="312" w:after="312"/>
        <w:ind w:left="0"/>
      </w:pPr>
      <w:bookmarkStart w:id="30" w:name="_Toc183696250"/>
      <w:bookmarkStart w:id="31" w:name="_Toc26718930"/>
      <w:bookmarkStart w:id="32" w:name="_Toc26648465"/>
      <w:bookmarkStart w:id="33" w:name="_Toc24884211"/>
      <w:bookmarkStart w:id="34" w:name="_Toc17233333"/>
      <w:bookmarkStart w:id="35" w:name="_Toc24884218"/>
      <w:bookmarkStart w:id="36" w:name="_Toc17233325"/>
      <w:bookmarkStart w:id="37" w:name="_Toc182987027"/>
      <w:bookmarkStart w:id="38" w:name="_Toc26986530"/>
      <w:bookmarkStart w:id="39" w:name="_Toc183795889"/>
      <w:bookmarkStart w:id="40" w:name="_Toc26986771"/>
      <w:bookmarkStart w:id="41" w:name="_Toc97191423"/>
      <w:bookmarkStart w:id="42" w:name="_Toc183696656"/>
      <w:bookmarkStart w:id="43" w:name="_Toc184124606"/>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AEF5208" w14:textId="77777777" w:rsidR="00DD3D28" w:rsidRDefault="004A3D5A">
      <w:pPr>
        <w:pStyle w:val="afffffa"/>
        <w:ind w:firstLine="420"/>
      </w:pPr>
      <w:bookmarkStart w:id="44" w:name="_Toc17233326"/>
      <w:bookmarkStart w:id="45" w:name="_Toc24884219"/>
      <w:bookmarkStart w:id="46" w:name="_Toc17233334"/>
      <w:bookmarkStart w:id="47" w:name="_Toc26648466"/>
      <w:bookmarkStart w:id="48" w:name="_Toc24884212"/>
      <w:r>
        <w:rPr>
          <w:rFonts w:hint="eastAsia"/>
        </w:rPr>
        <w:t>本文件规定了公共美术馆中重要设施设备运行管理服务的要求和方法。</w:t>
      </w:r>
    </w:p>
    <w:p w14:paraId="1A2AC344" w14:textId="77777777" w:rsidR="00DD3D28" w:rsidRDefault="004A3D5A">
      <w:pPr>
        <w:pStyle w:val="afffffa"/>
        <w:ind w:firstLine="420"/>
      </w:pPr>
      <w:r>
        <w:rPr>
          <w:rFonts w:hint="eastAsia"/>
        </w:rPr>
        <w:t>本文件适用于已建设完成并正式运行的公共美术馆。其他美术馆可参照执行。</w:t>
      </w:r>
    </w:p>
    <w:p w14:paraId="7591D0AE" w14:textId="77777777" w:rsidR="00DD3D28" w:rsidRDefault="004A3D5A">
      <w:pPr>
        <w:pStyle w:val="affc"/>
        <w:spacing w:before="312" w:after="312"/>
        <w:ind w:left="0"/>
      </w:pPr>
      <w:bookmarkStart w:id="49" w:name="_Toc26986772"/>
      <w:bookmarkStart w:id="50" w:name="_Toc182987028"/>
      <w:bookmarkStart w:id="51" w:name="_Toc26718931"/>
      <w:bookmarkStart w:id="52" w:name="_Toc97191424"/>
      <w:bookmarkStart w:id="53" w:name="_Toc183696657"/>
      <w:bookmarkStart w:id="54" w:name="_Toc183696251"/>
      <w:bookmarkStart w:id="55" w:name="_Toc26986531"/>
      <w:bookmarkStart w:id="56" w:name="_Toc183795890"/>
      <w:bookmarkStart w:id="57" w:name="_Toc184124607"/>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5FFA043" w14:textId="77777777" w:rsidR="00DD3D28" w:rsidRDefault="004A3D5A">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AB430AF" w14:textId="77777777" w:rsidR="00DD3D28" w:rsidRDefault="004A3D5A">
      <w:pPr>
        <w:pStyle w:val="afffffa"/>
        <w:ind w:firstLine="420"/>
      </w:pPr>
      <w:bookmarkStart w:id="58" w:name="_Hlk183698350"/>
      <w:r>
        <w:t xml:space="preserve">GB 50365  </w:t>
      </w:r>
      <w:r>
        <w:rPr>
          <w:rFonts w:hint="eastAsia"/>
        </w:rPr>
        <w:t>空调通风系统运行管理标准</w:t>
      </w:r>
    </w:p>
    <w:p w14:paraId="1DBC9DA4" w14:textId="77777777" w:rsidR="00DD3D28" w:rsidRDefault="004A3D5A">
      <w:pPr>
        <w:pStyle w:val="afffffa"/>
        <w:ind w:firstLine="420"/>
      </w:pPr>
      <w:r>
        <w:t>GB 50370</w:t>
      </w:r>
      <w:r>
        <w:rPr>
          <w:rFonts w:hint="eastAsia"/>
        </w:rPr>
        <w:t xml:space="preserve">  </w:t>
      </w:r>
      <w:r>
        <w:rPr>
          <w:rFonts w:hint="eastAsia"/>
        </w:rPr>
        <w:t>气体灭火</w:t>
      </w:r>
      <w:r>
        <w:rPr>
          <w:rFonts w:hint="eastAsia"/>
        </w:rPr>
        <w:t>系统设计规范</w:t>
      </w:r>
    </w:p>
    <w:p w14:paraId="67F85DEA" w14:textId="77777777" w:rsidR="00DD3D28" w:rsidRDefault="004A3D5A">
      <w:pPr>
        <w:pStyle w:val="afffffa"/>
        <w:ind w:firstLine="420"/>
      </w:pPr>
      <w:r>
        <w:t xml:space="preserve">GB/T 16571  </w:t>
      </w:r>
      <w:r>
        <w:rPr>
          <w:rFonts w:hint="eastAsia"/>
        </w:rPr>
        <w:t>博物馆和文物保护单位安全防范系统要求</w:t>
      </w:r>
    </w:p>
    <w:p w14:paraId="3E37C2D5" w14:textId="77777777" w:rsidR="00DD3D28" w:rsidRDefault="004A3D5A">
      <w:pPr>
        <w:pStyle w:val="afffffa"/>
        <w:ind w:firstLine="420"/>
      </w:pPr>
      <w:r>
        <w:t xml:space="preserve">GB/T 23863  </w:t>
      </w:r>
      <w:r>
        <w:rPr>
          <w:rFonts w:hint="eastAsia"/>
        </w:rPr>
        <w:t>博物馆照明设计规范</w:t>
      </w:r>
    </w:p>
    <w:p w14:paraId="7C3A43A3" w14:textId="77777777" w:rsidR="00DD3D28" w:rsidRDefault="004A3D5A">
      <w:pPr>
        <w:pStyle w:val="afffffa"/>
        <w:ind w:firstLine="420"/>
      </w:pPr>
      <w:r>
        <w:t xml:space="preserve">GB/T 36110  </w:t>
      </w:r>
      <w:r>
        <w:rPr>
          <w:rFonts w:hint="eastAsia"/>
        </w:rPr>
        <w:t>文物展柜密封性能及检测</w:t>
      </w:r>
    </w:p>
    <w:p w14:paraId="6241B162" w14:textId="77777777" w:rsidR="00DD3D28" w:rsidRDefault="004A3D5A">
      <w:pPr>
        <w:pStyle w:val="afffffa"/>
        <w:ind w:firstLine="420"/>
      </w:pPr>
      <w:r>
        <w:t xml:space="preserve">JGJ 66  </w:t>
      </w:r>
      <w:r>
        <w:rPr>
          <w:rFonts w:hint="eastAsia"/>
        </w:rPr>
        <w:t>博物馆建筑设计规范</w:t>
      </w:r>
    </w:p>
    <w:p w14:paraId="0D3EEF78" w14:textId="77777777" w:rsidR="00DD3D28" w:rsidRDefault="004A3D5A">
      <w:pPr>
        <w:pStyle w:val="afffffa"/>
        <w:ind w:firstLine="420"/>
      </w:pPr>
      <w:r>
        <w:t xml:space="preserve">WS/T 396  </w:t>
      </w:r>
      <w:r>
        <w:rPr>
          <w:rFonts w:hint="eastAsia"/>
        </w:rPr>
        <w:t>公共场所集中空调通风系统清洗消毒规范</w:t>
      </w:r>
    </w:p>
    <w:p w14:paraId="42759387" w14:textId="77777777" w:rsidR="00DD3D28" w:rsidRDefault="004A3D5A">
      <w:pPr>
        <w:pStyle w:val="afffffa"/>
        <w:ind w:firstLine="420"/>
      </w:pPr>
      <w:r>
        <w:t>DA/T 101</w:t>
      </w:r>
      <w:r>
        <w:rPr>
          <w:rFonts w:hint="eastAsia"/>
        </w:rPr>
        <w:t xml:space="preserve">  </w:t>
      </w:r>
      <w:r>
        <w:t>恒温恒湿档案库房空调工程施工及质量验收规范</w:t>
      </w:r>
    </w:p>
    <w:p w14:paraId="33A98014" w14:textId="77777777" w:rsidR="00DD3D28" w:rsidRDefault="004A3D5A">
      <w:pPr>
        <w:pStyle w:val="affc"/>
        <w:spacing w:before="312" w:after="312"/>
        <w:ind w:left="0"/>
      </w:pPr>
      <w:bookmarkStart w:id="59" w:name="_Toc183696252"/>
      <w:bookmarkStart w:id="60" w:name="_Toc182987029"/>
      <w:bookmarkStart w:id="61" w:name="_Toc183696658"/>
      <w:bookmarkStart w:id="62" w:name="_Toc183795891"/>
      <w:bookmarkStart w:id="63" w:name="_Toc97191425"/>
      <w:bookmarkStart w:id="64" w:name="_Toc184124608"/>
      <w:bookmarkEnd w:id="58"/>
      <w:r>
        <w:rPr>
          <w:rFonts w:hint="eastAsia"/>
          <w:szCs w:val="21"/>
        </w:rPr>
        <w:t>术语和定义</w:t>
      </w:r>
      <w:bookmarkEnd w:id="59"/>
      <w:bookmarkEnd w:id="60"/>
      <w:bookmarkEnd w:id="61"/>
      <w:bookmarkEnd w:id="62"/>
      <w:bookmarkEnd w:id="63"/>
      <w:bookmarkEnd w:id="64"/>
    </w:p>
    <w:p w14:paraId="08A35789" w14:textId="77777777" w:rsidR="00DD3D28" w:rsidRDefault="004A3D5A">
      <w:pPr>
        <w:pStyle w:val="afffffa"/>
        <w:ind w:firstLine="420"/>
      </w:pPr>
      <w:bookmarkStart w:id="65" w:name="_Toc26986532"/>
      <w:bookmarkEnd w:id="65"/>
      <w:r>
        <w:t>下列术语和定义适用于本文件。</w:t>
      </w:r>
    </w:p>
    <w:p w14:paraId="7D61D531" w14:textId="77777777" w:rsidR="00DD3D28" w:rsidRDefault="00DD3D28">
      <w:pPr>
        <w:pStyle w:val="affd"/>
        <w:spacing w:before="156" w:after="156"/>
      </w:pPr>
      <w:bookmarkStart w:id="66" w:name="_Toc183795892"/>
      <w:bookmarkStart w:id="67" w:name="_Toc184124609"/>
      <w:bookmarkEnd w:id="66"/>
      <w:bookmarkEnd w:id="67"/>
    </w:p>
    <w:p w14:paraId="2D3CC25F" w14:textId="77777777" w:rsidR="00DD3D28" w:rsidRDefault="004A3D5A">
      <w:pPr>
        <w:pStyle w:val="affd"/>
        <w:numPr>
          <w:ilvl w:val="0"/>
          <w:numId w:val="0"/>
        </w:numPr>
        <w:spacing w:before="156" w:after="156"/>
        <w:ind w:firstLineChars="200" w:firstLine="420"/>
      </w:pPr>
      <w:bookmarkStart w:id="68" w:name="_Toc183795893"/>
      <w:bookmarkStart w:id="69" w:name="_Toc184124610"/>
      <w:r>
        <w:rPr>
          <w:rFonts w:hint="eastAsia"/>
        </w:rPr>
        <w:t>公共美术馆</w:t>
      </w:r>
      <w:r>
        <w:t xml:space="preserve">  Public art museum</w:t>
      </w:r>
      <w:bookmarkEnd w:id="68"/>
      <w:bookmarkEnd w:id="69"/>
    </w:p>
    <w:p w14:paraId="0EF97CDF" w14:textId="77777777" w:rsidR="00DD3D28" w:rsidRDefault="004A3D5A">
      <w:pPr>
        <w:pStyle w:val="afffffa"/>
        <w:ind w:firstLine="420"/>
      </w:pPr>
      <w:r>
        <w:rPr>
          <w:rFonts w:hint="eastAsia"/>
        </w:rPr>
        <w:t>不以盈利为目的，具有收藏、展览、研究及公共教育和服务功能，向公众开放的公益性美术馆。</w:t>
      </w:r>
    </w:p>
    <w:p w14:paraId="14383FFF" w14:textId="77777777" w:rsidR="00DD3D28" w:rsidRDefault="004A3D5A">
      <w:pPr>
        <w:pStyle w:val="afffffa"/>
        <w:ind w:firstLine="420"/>
      </w:pPr>
      <w:r>
        <w:t>注：包括国有美术馆和非国有美术馆。</w:t>
      </w:r>
    </w:p>
    <w:p w14:paraId="4CFBC9F7" w14:textId="77777777" w:rsidR="00DD3D28" w:rsidRDefault="004A3D5A">
      <w:pPr>
        <w:pStyle w:val="afffffa"/>
        <w:ind w:firstLine="420"/>
      </w:pPr>
      <w:r>
        <w:t>［</w:t>
      </w:r>
      <w:r>
        <w:rPr>
          <w:rFonts w:hint="eastAsia"/>
        </w:rPr>
        <w:t>来源：</w:t>
      </w:r>
      <w:r>
        <w:rPr>
          <w:rFonts w:hint="eastAsia"/>
        </w:rPr>
        <w:t>WH/T 98-2022</w:t>
      </w:r>
      <w:r>
        <w:t>］</w:t>
      </w:r>
    </w:p>
    <w:p w14:paraId="727FE8A3" w14:textId="77777777" w:rsidR="00DD3D28" w:rsidRDefault="00DD3D28">
      <w:pPr>
        <w:pStyle w:val="affd"/>
        <w:spacing w:before="156" w:after="156"/>
      </w:pPr>
      <w:bookmarkStart w:id="70" w:name="_Toc183795894"/>
      <w:bookmarkStart w:id="71" w:name="_Toc184124611"/>
      <w:bookmarkEnd w:id="70"/>
      <w:bookmarkEnd w:id="71"/>
    </w:p>
    <w:p w14:paraId="300CA23D" w14:textId="77777777" w:rsidR="00DD3D28" w:rsidRDefault="004A3D5A">
      <w:pPr>
        <w:pStyle w:val="affd"/>
        <w:numPr>
          <w:ilvl w:val="0"/>
          <w:numId w:val="0"/>
        </w:numPr>
        <w:spacing w:before="156" w:after="156"/>
        <w:ind w:firstLineChars="200" w:firstLine="420"/>
      </w:pPr>
      <w:bookmarkStart w:id="72" w:name="_Toc183795895"/>
      <w:bookmarkStart w:id="73" w:name="_Toc184124612"/>
      <w:r>
        <w:rPr>
          <w:rFonts w:hint="eastAsia"/>
        </w:rPr>
        <w:t>重要设施设备</w:t>
      </w:r>
      <w:r>
        <w:rPr>
          <w:rFonts w:hint="eastAsia"/>
        </w:rPr>
        <w:t xml:space="preserve"> Important facilities and equipment</w:t>
      </w:r>
      <w:bookmarkEnd w:id="72"/>
      <w:bookmarkEnd w:id="73"/>
    </w:p>
    <w:p w14:paraId="6FB8BCB9" w14:textId="77777777" w:rsidR="00DD3D28" w:rsidRDefault="004A3D5A">
      <w:pPr>
        <w:pStyle w:val="afffffa"/>
        <w:ind w:firstLine="420"/>
      </w:pPr>
      <w:r>
        <w:rPr>
          <w:rFonts w:hint="eastAsia"/>
        </w:rPr>
        <w:t>在公共美术馆运行使用中具有重要作用的设施设备，一般与美术馆的展览功能、收藏功能及公共服务功能相关。</w:t>
      </w:r>
    </w:p>
    <w:p w14:paraId="1D2CF8C0" w14:textId="77777777" w:rsidR="00DD3D28" w:rsidRDefault="00DD3D28">
      <w:pPr>
        <w:pStyle w:val="affd"/>
        <w:spacing w:before="156" w:after="156"/>
        <w:rPr>
          <w:rFonts w:ascii="Helvetica" w:hAnsi="Helvetica" w:cs="Helvetica"/>
          <w:szCs w:val="21"/>
          <w:shd w:val="clear" w:color="auto" w:fill="FFFFFF"/>
        </w:rPr>
      </w:pPr>
      <w:bookmarkStart w:id="74" w:name="_Toc183795896"/>
      <w:bookmarkStart w:id="75" w:name="_Toc184124613"/>
      <w:bookmarkEnd w:id="74"/>
      <w:bookmarkEnd w:id="75"/>
    </w:p>
    <w:p w14:paraId="614F94D2" w14:textId="77777777" w:rsidR="00DD3D28" w:rsidRDefault="004A3D5A">
      <w:pPr>
        <w:pStyle w:val="affd"/>
        <w:numPr>
          <w:ilvl w:val="0"/>
          <w:numId w:val="0"/>
        </w:numPr>
        <w:spacing w:before="156" w:after="156"/>
        <w:ind w:firstLineChars="200" w:firstLine="420"/>
        <w:rPr>
          <w:rFonts w:ascii="Helvetica" w:hAnsi="Helvetica" w:cs="Helvetica"/>
          <w:szCs w:val="21"/>
          <w:shd w:val="clear" w:color="auto" w:fill="FFFFFF"/>
        </w:rPr>
      </w:pPr>
      <w:bookmarkStart w:id="76" w:name="_Toc183795897"/>
      <w:bookmarkStart w:id="77" w:name="_Toc184124614"/>
      <w:r>
        <w:rPr>
          <w:rFonts w:hint="eastAsia"/>
        </w:rPr>
        <w:t>建筑信息模型</w:t>
      </w:r>
      <w:r>
        <w:rPr>
          <w:rFonts w:ascii="Helvetica" w:hAnsi="Helvetica" w:cs="Helvetica"/>
          <w:szCs w:val="21"/>
          <w:shd w:val="clear" w:color="auto" w:fill="FFFFFF"/>
        </w:rPr>
        <w:t xml:space="preserve"> </w:t>
      </w:r>
      <w:r>
        <w:t>Building Information Modeling</w:t>
      </w:r>
      <w:bookmarkEnd w:id="76"/>
      <w:bookmarkEnd w:id="77"/>
    </w:p>
    <w:p w14:paraId="450D2989" w14:textId="77777777" w:rsidR="00DD3D28" w:rsidRDefault="004A3D5A">
      <w:pPr>
        <w:pStyle w:val="afffffa"/>
        <w:ind w:firstLine="420"/>
      </w:pPr>
      <w:r>
        <w:rPr>
          <w:rFonts w:hint="eastAsia"/>
        </w:rPr>
        <w:t>建筑信息模型（</w:t>
      </w:r>
      <w:r>
        <w:rPr>
          <w:rFonts w:hint="eastAsia"/>
        </w:rPr>
        <w:t>Building Information Modelling</w:t>
      </w:r>
      <w:r>
        <w:rPr>
          <w:rFonts w:hint="eastAsia"/>
        </w:rPr>
        <w:t>，</w:t>
      </w:r>
      <w:r>
        <w:rPr>
          <w:rFonts w:hint="eastAsia"/>
        </w:rPr>
        <w:t xml:space="preserve"> BIM</w:t>
      </w:r>
      <w:r>
        <w:rPr>
          <w:rFonts w:hint="eastAsia"/>
        </w:rPr>
        <w:t>）描述和展示了工程设施的规划、设计、施工、运营及寿命终止阶段中所需的信息处理流程。</w:t>
      </w:r>
    </w:p>
    <w:p w14:paraId="24FF402B" w14:textId="77777777" w:rsidR="00DD3D28" w:rsidRDefault="004A3D5A">
      <w:pPr>
        <w:pStyle w:val="affc"/>
        <w:spacing w:before="312" w:after="312"/>
        <w:ind w:left="0"/>
      </w:pPr>
      <w:bookmarkStart w:id="78" w:name="_Toc183696253"/>
      <w:bookmarkStart w:id="79" w:name="_Toc182987030"/>
      <w:bookmarkStart w:id="80" w:name="_Toc183696659"/>
      <w:bookmarkStart w:id="81" w:name="_Toc183795898"/>
      <w:bookmarkStart w:id="82" w:name="_Toc184124615"/>
      <w:r>
        <w:rPr>
          <w:rFonts w:hint="eastAsia"/>
        </w:rPr>
        <w:lastRenderedPageBreak/>
        <w:t>基本要求</w:t>
      </w:r>
      <w:bookmarkStart w:id="83" w:name="_Toc183696660"/>
      <w:bookmarkStart w:id="84" w:name="_Toc183696254"/>
      <w:bookmarkStart w:id="85" w:name="_Toc182987031"/>
      <w:bookmarkStart w:id="86" w:name="_Hlk181714117"/>
      <w:bookmarkEnd w:id="78"/>
      <w:bookmarkEnd w:id="79"/>
      <w:bookmarkEnd w:id="80"/>
      <w:bookmarkEnd w:id="81"/>
      <w:bookmarkEnd w:id="82"/>
      <w:bookmarkEnd w:id="83"/>
      <w:bookmarkEnd w:id="84"/>
      <w:bookmarkEnd w:id="85"/>
    </w:p>
    <w:bookmarkEnd w:id="86"/>
    <w:p w14:paraId="6F4D6B77" w14:textId="77777777" w:rsidR="00DD3D28" w:rsidRDefault="004A3D5A">
      <w:pPr>
        <w:pStyle w:val="afffffa"/>
        <w:ind w:firstLine="420"/>
      </w:pPr>
      <w:r>
        <w:rPr>
          <w:rFonts w:hint="eastAsia"/>
        </w:rPr>
        <w:t>公共美术馆应设置专门机构或配置专职人员，做好美术馆重要设施设备的运行管理工作。应建立健全各类重要设施设备运行管理制度和规定，制定详细的运行管理方案和维护维修方案。公共美术馆重要设施设备的运行管理可借助建立</w:t>
      </w:r>
      <w:r>
        <w:rPr>
          <w:rFonts w:hint="eastAsia"/>
        </w:rPr>
        <w:t>BIM</w:t>
      </w:r>
      <w:r>
        <w:rPr>
          <w:rFonts w:hint="eastAsia"/>
        </w:rPr>
        <w:t>系统工具进行管理，以提高管理效率，避免管理漏洞。</w:t>
      </w:r>
    </w:p>
    <w:p w14:paraId="082096C4" w14:textId="77777777" w:rsidR="00DD3D28" w:rsidRDefault="004A3D5A">
      <w:pPr>
        <w:pStyle w:val="affd"/>
        <w:spacing w:before="156" w:after="156"/>
      </w:pPr>
      <w:bookmarkStart w:id="87" w:name="_Toc182987033"/>
      <w:bookmarkStart w:id="88" w:name="_Toc183696256"/>
      <w:bookmarkStart w:id="89" w:name="_Toc183795899"/>
      <w:bookmarkStart w:id="90" w:name="_Toc183696662"/>
      <w:bookmarkStart w:id="91" w:name="_Toc184124616"/>
      <w:r>
        <w:rPr>
          <w:rFonts w:hint="eastAsia"/>
        </w:rPr>
        <w:t>机构及人员要求</w:t>
      </w:r>
      <w:bookmarkEnd w:id="87"/>
      <w:bookmarkEnd w:id="88"/>
      <w:bookmarkEnd w:id="89"/>
      <w:bookmarkEnd w:id="90"/>
      <w:bookmarkEnd w:id="91"/>
    </w:p>
    <w:p w14:paraId="65448B48" w14:textId="77777777" w:rsidR="00DD3D28" w:rsidRDefault="004A3D5A">
      <w:pPr>
        <w:pStyle w:val="affe"/>
        <w:spacing w:before="156" w:after="156"/>
      </w:pPr>
      <w:bookmarkStart w:id="92" w:name="_Toc182987034"/>
      <w:bookmarkStart w:id="93" w:name="_Toc183696257"/>
      <w:bookmarkStart w:id="94" w:name="_Toc183795900"/>
      <w:bookmarkStart w:id="95" w:name="_Toc183696663"/>
      <w:bookmarkStart w:id="96" w:name="_Toc184124617"/>
      <w:r>
        <w:rPr>
          <w:rFonts w:hint="eastAsia"/>
        </w:rPr>
        <w:t>机构设置</w:t>
      </w:r>
      <w:bookmarkEnd w:id="92"/>
      <w:bookmarkEnd w:id="93"/>
      <w:bookmarkEnd w:id="94"/>
      <w:bookmarkEnd w:id="95"/>
      <w:bookmarkEnd w:id="96"/>
    </w:p>
    <w:p w14:paraId="11A03E33" w14:textId="77777777" w:rsidR="00DD3D28" w:rsidRDefault="004A3D5A">
      <w:pPr>
        <w:pStyle w:val="af2"/>
      </w:pPr>
      <w:r>
        <w:rPr>
          <w:rFonts w:hint="eastAsia"/>
        </w:rPr>
        <w:t>Ⅲ类及以上建设规模公共美术馆应设置专门机构，对设施设备进行统一管理。</w:t>
      </w:r>
    </w:p>
    <w:p w14:paraId="4B7ED35D" w14:textId="77777777" w:rsidR="00DD3D28" w:rsidRDefault="004A3D5A">
      <w:pPr>
        <w:pStyle w:val="af2"/>
      </w:pPr>
      <w:r>
        <w:rPr>
          <w:rFonts w:hint="eastAsia"/>
        </w:rPr>
        <w:t>Ⅲ</w:t>
      </w:r>
      <w:proofErr w:type="gramStart"/>
      <w:r>
        <w:rPr>
          <w:rFonts w:hint="eastAsia"/>
        </w:rPr>
        <w:t>类以下</w:t>
      </w:r>
      <w:proofErr w:type="gramEnd"/>
      <w:r>
        <w:rPr>
          <w:rFonts w:hint="eastAsia"/>
        </w:rPr>
        <w:t>建设规模公共美术馆应配备专门人员对设施设备进行管理。</w:t>
      </w:r>
    </w:p>
    <w:p w14:paraId="5B7F7066" w14:textId="77777777" w:rsidR="00DD3D28" w:rsidRDefault="004A3D5A">
      <w:pPr>
        <w:pStyle w:val="affe"/>
        <w:spacing w:before="156" w:after="156"/>
      </w:pPr>
      <w:bookmarkStart w:id="97" w:name="_Toc183696664"/>
      <w:bookmarkStart w:id="98" w:name="_Toc183696258"/>
      <w:bookmarkStart w:id="99" w:name="_Toc183696259"/>
      <w:bookmarkStart w:id="100" w:name="_Toc182987035"/>
      <w:bookmarkStart w:id="101" w:name="_Toc183795901"/>
      <w:bookmarkStart w:id="102" w:name="_Toc183696665"/>
      <w:bookmarkStart w:id="103" w:name="_Toc184124618"/>
      <w:bookmarkEnd w:id="97"/>
      <w:bookmarkEnd w:id="98"/>
      <w:r>
        <w:rPr>
          <w:rFonts w:hint="eastAsia"/>
        </w:rPr>
        <w:t>人员配备与管理</w:t>
      </w:r>
      <w:bookmarkEnd w:id="99"/>
      <w:bookmarkEnd w:id="100"/>
      <w:bookmarkEnd w:id="101"/>
      <w:bookmarkEnd w:id="102"/>
      <w:bookmarkEnd w:id="103"/>
    </w:p>
    <w:p w14:paraId="4307DC2F" w14:textId="78957B8B" w:rsidR="00DD3D28" w:rsidRDefault="004A3D5A">
      <w:pPr>
        <w:pStyle w:val="af2"/>
      </w:pPr>
      <w:r>
        <w:rPr>
          <w:rFonts w:hint="eastAsia"/>
        </w:rPr>
        <w:t>运行管理人员应具备与其职责相</w:t>
      </w:r>
      <w:r w:rsidR="007B4634">
        <w:rPr>
          <w:rFonts w:hint="eastAsia"/>
        </w:rPr>
        <w:t>符合</w:t>
      </w:r>
      <w:r>
        <w:rPr>
          <w:rFonts w:hint="eastAsia"/>
        </w:rPr>
        <w:t>的业务技能，特殊岗位应按要求持证上岗。</w:t>
      </w:r>
    </w:p>
    <w:p w14:paraId="1F96DCD4" w14:textId="77777777" w:rsidR="00DD3D28" w:rsidRDefault="004A3D5A">
      <w:pPr>
        <w:pStyle w:val="af2"/>
      </w:pPr>
      <w:r>
        <w:rPr>
          <w:rFonts w:hint="eastAsia"/>
        </w:rPr>
        <w:t>运行管</w:t>
      </w:r>
      <w:r>
        <w:rPr>
          <w:rFonts w:hint="eastAsia"/>
        </w:rPr>
        <w:t>理人员应进行相关业务技能培训，每年应不少于</w:t>
      </w:r>
      <w:r>
        <w:rPr>
          <w:rFonts w:hint="eastAsia"/>
        </w:rPr>
        <w:t>1</w:t>
      </w:r>
      <w:r>
        <w:rPr>
          <w:rFonts w:hint="eastAsia"/>
        </w:rPr>
        <w:t>次。</w:t>
      </w:r>
    </w:p>
    <w:p w14:paraId="79A27E1D" w14:textId="52AD991D" w:rsidR="00DD3D28" w:rsidRDefault="007B4634">
      <w:pPr>
        <w:pStyle w:val="af2"/>
      </w:pPr>
      <w:r>
        <w:rPr>
          <w:rFonts w:hint="eastAsia"/>
        </w:rPr>
        <w:t>运行管理人员应对所有重要设施设备进行巡查，每天巡查次数不小于2次。</w:t>
      </w:r>
    </w:p>
    <w:p w14:paraId="69CD1B37" w14:textId="50AF5038" w:rsidR="00DD3D28" w:rsidRDefault="004A3D5A">
      <w:pPr>
        <w:pStyle w:val="af2"/>
      </w:pPr>
      <w:r>
        <w:rPr>
          <w:rFonts w:hint="eastAsia"/>
        </w:rPr>
        <w:t>特殊区域如典藏区等应制</w:t>
      </w:r>
      <w:proofErr w:type="gramStart"/>
      <w:r>
        <w:rPr>
          <w:rFonts w:hint="eastAsia"/>
        </w:rPr>
        <w:t>定</w:t>
      </w:r>
      <w:r w:rsidR="007B4634">
        <w:rPr>
          <w:rFonts w:hint="eastAsia"/>
        </w:rPr>
        <w:t>符合</w:t>
      </w:r>
      <w:proofErr w:type="gramEnd"/>
      <w:r>
        <w:rPr>
          <w:rFonts w:hint="eastAsia"/>
        </w:rPr>
        <w:t>该区域需求的巡查和维护机制。</w:t>
      </w:r>
    </w:p>
    <w:p w14:paraId="7C99F068" w14:textId="77777777" w:rsidR="00DD3D28" w:rsidRDefault="004A3D5A">
      <w:pPr>
        <w:pStyle w:val="af2"/>
      </w:pPr>
      <w:r>
        <w:rPr>
          <w:rFonts w:hint="eastAsia"/>
        </w:rPr>
        <w:t>重要设施设备采用第三方机构进行维护时，应根据该设施设备的功能和技术特性，要求该第三方机构具备相应资质。</w:t>
      </w:r>
    </w:p>
    <w:p w14:paraId="38A8C768" w14:textId="77777777" w:rsidR="00DD3D28" w:rsidRDefault="004A3D5A">
      <w:pPr>
        <w:pStyle w:val="affd"/>
        <w:spacing w:before="156" w:after="156"/>
      </w:pPr>
      <w:bookmarkStart w:id="104" w:name="_Toc182987036"/>
      <w:bookmarkStart w:id="105" w:name="_Toc183696260"/>
      <w:bookmarkStart w:id="106" w:name="_Toc183696666"/>
      <w:bookmarkStart w:id="107" w:name="_Toc183795902"/>
      <w:bookmarkStart w:id="108" w:name="_Toc184124619"/>
      <w:r>
        <w:rPr>
          <w:rFonts w:hint="eastAsia"/>
        </w:rPr>
        <w:t>资料要求</w:t>
      </w:r>
      <w:bookmarkEnd w:id="104"/>
      <w:bookmarkEnd w:id="105"/>
      <w:bookmarkEnd w:id="106"/>
      <w:bookmarkEnd w:id="107"/>
      <w:bookmarkEnd w:id="108"/>
    </w:p>
    <w:p w14:paraId="3DF6C3E9" w14:textId="77777777" w:rsidR="00DD3D28" w:rsidRDefault="004A3D5A">
      <w:pPr>
        <w:pStyle w:val="af2"/>
      </w:pPr>
      <w:r>
        <w:rPr>
          <w:rFonts w:hint="eastAsia"/>
        </w:rPr>
        <w:t>公共美术馆应对重要设施设备的采购或租赁合同、技术资料、产品说明书、售后服务单位信息等原始资料进行档案管理。</w:t>
      </w:r>
    </w:p>
    <w:p w14:paraId="3EC6A766" w14:textId="77777777" w:rsidR="00DD3D28" w:rsidRDefault="004A3D5A">
      <w:pPr>
        <w:pStyle w:val="af2"/>
      </w:pPr>
      <w:r>
        <w:rPr>
          <w:rFonts w:hint="eastAsia"/>
        </w:rPr>
        <w:t>公共美术馆重要设施设备运行与维护的管理工作应有全过程记录，重要设施设备</w:t>
      </w:r>
      <w:proofErr w:type="gramStart"/>
      <w:r>
        <w:rPr>
          <w:rFonts w:hint="eastAsia"/>
        </w:rPr>
        <w:t>宜建立</w:t>
      </w:r>
      <w:proofErr w:type="gramEnd"/>
      <w:r>
        <w:rPr>
          <w:rFonts w:hint="eastAsia"/>
        </w:rPr>
        <w:t>质量保修档案，便于信息核查。</w:t>
      </w:r>
    </w:p>
    <w:p w14:paraId="6610C127" w14:textId="77777777" w:rsidR="00DD3D28" w:rsidRDefault="004A3D5A">
      <w:pPr>
        <w:pStyle w:val="affd"/>
        <w:spacing w:before="156" w:after="156"/>
      </w:pPr>
      <w:bookmarkStart w:id="109" w:name="_Toc183696261"/>
      <w:bookmarkStart w:id="110" w:name="_Toc182987037"/>
      <w:bookmarkStart w:id="111" w:name="_Toc183696667"/>
      <w:bookmarkStart w:id="112" w:name="_Toc183795903"/>
      <w:bookmarkStart w:id="113" w:name="_Toc184124620"/>
      <w:r>
        <w:rPr>
          <w:rFonts w:hint="eastAsia"/>
        </w:rPr>
        <w:t>安全要求</w:t>
      </w:r>
      <w:bookmarkEnd w:id="109"/>
      <w:bookmarkEnd w:id="110"/>
      <w:bookmarkEnd w:id="111"/>
      <w:bookmarkEnd w:id="112"/>
      <w:bookmarkEnd w:id="113"/>
    </w:p>
    <w:p w14:paraId="2BCEF1DA" w14:textId="2B2FF3D8" w:rsidR="00DD3D28" w:rsidRDefault="004A3D5A">
      <w:pPr>
        <w:pStyle w:val="af2"/>
      </w:pPr>
      <w:r>
        <w:rPr>
          <w:rFonts w:hint="eastAsia"/>
        </w:rPr>
        <w:t>重要设施设备运行前应由专人进行安全检查和耗材检查。</w:t>
      </w:r>
    </w:p>
    <w:p w14:paraId="3D20F543" w14:textId="18BCD1BF" w:rsidR="00DD3D28" w:rsidRDefault="004A3D5A">
      <w:pPr>
        <w:pStyle w:val="af2"/>
      </w:pPr>
      <w:r>
        <w:rPr>
          <w:rFonts w:hint="eastAsia"/>
        </w:rPr>
        <w:t>重要设施设备运行中应有专人定时巡查，并确保运行状态正常。</w:t>
      </w:r>
    </w:p>
    <w:p w14:paraId="346DE69B" w14:textId="782AAC61" w:rsidR="00DD3D28" w:rsidRDefault="004A3D5A">
      <w:pPr>
        <w:pStyle w:val="af2"/>
      </w:pPr>
      <w:r>
        <w:rPr>
          <w:rFonts w:hint="eastAsia"/>
        </w:rPr>
        <w:t>重要设施设备运行、维护或维修结束后，应确保无作用</w:t>
      </w:r>
      <w:r w:rsidR="00166923">
        <w:rPr>
          <w:rFonts w:hint="eastAsia"/>
        </w:rPr>
        <w:t>设施设备</w:t>
      </w:r>
      <w:r>
        <w:rPr>
          <w:rFonts w:hint="eastAsia"/>
        </w:rPr>
        <w:t>处于断电和稳固状态。</w:t>
      </w:r>
    </w:p>
    <w:p w14:paraId="773484EC" w14:textId="77777777" w:rsidR="00DD3D28" w:rsidRDefault="004A3D5A">
      <w:pPr>
        <w:pStyle w:val="affc"/>
        <w:spacing w:before="312" w:after="312"/>
        <w:ind w:left="0"/>
      </w:pPr>
      <w:bookmarkStart w:id="114" w:name="_Toc183696262"/>
      <w:bookmarkStart w:id="115" w:name="_Toc183696668"/>
      <w:bookmarkStart w:id="116" w:name="_Toc183795904"/>
      <w:bookmarkStart w:id="117" w:name="_Toc182987038"/>
      <w:bookmarkStart w:id="118" w:name="_Toc184124621"/>
      <w:r>
        <w:rPr>
          <w:rFonts w:hint="eastAsia"/>
        </w:rPr>
        <w:t>管理要求</w:t>
      </w:r>
      <w:bookmarkEnd w:id="114"/>
      <w:bookmarkEnd w:id="115"/>
      <w:bookmarkEnd w:id="116"/>
      <w:bookmarkEnd w:id="117"/>
      <w:bookmarkEnd w:id="118"/>
    </w:p>
    <w:p w14:paraId="34DC4FEA" w14:textId="77777777" w:rsidR="00DD3D28" w:rsidRDefault="004A3D5A">
      <w:pPr>
        <w:pStyle w:val="affd"/>
        <w:spacing w:before="156" w:after="156"/>
      </w:pPr>
      <w:bookmarkStart w:id="119" w:name="_Toc183696263"/>
      <w:bookmarkStart w:id="120" w:name="_Toc182987039"/>
      <w:bookmarkStart w:id="121" w:name="_Toc183696669"/>
      <w:bookmarkStart w:id="122" w:name="_Toc182987040"/>
      <w:bookmarkStart w:id="123" w:name="_Toc183696670"/>
      <w:bookmarkStart w:id="124" w:name="_Toc183696264"/>
      <w:bookmarkStart w:id="125" w:name="_Toc183795905"/>
      <w:bookmarkStart w:id="126" w:name="_Toc184124622"/>
      <w:bookmarkEnd w:id="119"/>
      <w:bookmarkEnd w:id="120"/>
      <w:bookmarkEnd w:id="121"/>
      <w:r>
        <w:rPr>
          <w:rFonts w:hint="eastAsia"/>
        </w:rPr>
        <w:t>设施设备类别</w:t>
      </w:r>
      <w:bookmarkEnd w:id="122"/>
      <w:bookmarkEnd w:id="123"/>
      <w:bookmarkEnd w:id="124"/>
      <w:bookmarkEnd w:id="125"/>
      <w:bookmarkEnd w:id="126"/>
    </w:p>
    <w:p w14:paraId="02F2995B" w14:textId="77777777" w:rsidR="00DD3D28" w:rsidRDefault="004A3D5A">
      <w:pPr>
        <w:pStyle w:val="afffffa"/>
        <w:ind w:firstLine="420"/>
      </w:pPr>
      <w:r>
        <w:rPr>
          <w:rFonts w:hint="eastAsia"/>
        </w:rPr>
        <w:t>根据公共美术馆运行管理的特殊性和专业性，为区别于其他一般公共建筑，对其重要设施设备进行了分类，包括但不限于以下类别。</w:t>
      </w:r>
    </w:p>
    <w:p w14:paraId="2FF1E744" w14:textId="443509EF" w:rsidR="00DD3D28" w:rsidRDefault="004A3D5A">
      <w:pPr>
        <w:pStyle w:val="af2"/>
      </w:pPr>
      <w:r>
        <w:rPr>
          <w:rFonts w:hint="eastAsia"/>
        </w:rPr>
        <w:t>储藏类设施设备：藏品库房门、密集架、收纳柜（箱）、</w:t>
      </w:r>
      <w:r w:rsidR="0060389B">
        <w:rPr>
          <w:rFonts w:hint="eastAsia"/>
        </w:rPr>
        <w:t>藏品库</w:t>
      </w:r>
      <w:r>
        <w:rPr>
          <w:rFonts w:hint="eastAsia"/>
        </w:rPr>
        <w:t>恒温恒湿</w:t>
      </w:r>
      <w:r w:rsidR="0060389B">
        <w:rPr>
          <w:rFonts w:hint="eastAsia"/>
        </w:rPr>
        <w:t>设备</w:t>
      </w:r>
      <w:r>
        <w:rPr>
          <w:rFonts w:hint="eastAsia"/>
        </w:rPr>
        <w:t>、保养修复设备等。</w:t>
      </w:r>
    </w:p>
    <w:p w14:paraId="6E41DFD0" w14:textId="7DDBEBA9" w:rsidR="00DD3D28" w:rsidRDefault="004A3D5A">
      <w:pPr>
        <w:pStyle w:val="af2"/>
      </w:pPr>
      <w:r>
        <w:rPr>
          <w:rFonts w:hint="eastAsia"/>
        </w:rPr>
        <w:t>展览类设施设备：固定展墙（板）、活动展墙（板）、展柜、展览照明、登高及运</w:t>
      </w:r>
      <w:r w:rsidR="0060389B">
        <w:rPr>
          <w:rFonts w:hint="eastAsia"/>
        </w:rPr>
        <w:t>载</w:t>
      </w:r>
      <w:r>
        <w:rPr>
          <w:rFonts w:hint="eastAsia"/>
        </w:rPr>
        <w:t>等。</w:t>
      </w:r>
    </w:p>
    <w:p w14:paraId="703423AC" w14:textId="77777777" w:rsidR="00DD3D28" w:rsidRDefault="004A3D5A">
      <w:pPr>
        <w:pStyle w:val="af2"/>
      </w:pPr>
      <w:r>
        <w:rPr>
          <w:rFonts w:hint="eastAsia"/>
        </w:rPr>
        <w:t>其他设施设备</w:t>
      </w:r>
      <w:r>
        <w:rPr>
          <w:rFonts w:hint="eastAsia"/>
        </w:rPr>
        <w:t>：安防系统、气体灭火系统、空调系统、网络系统、公共服务设施等。</w:t>
      </w:r>
    </w:p>
    <w:p w14:paraId="1B497A18" w14:textId="77777777" w:rsidR="00DD3D28" w:rsidRDefault="004A3D5A">
      <w:pPr>
        <w:pStyle w:val="affd"/>
        <w:spacing w:before="156" w:after="156"/>
      </w:pPr>
      <w:bookmarkStart w:id="127" w:name="_Toc182987041"/>
      <w:bookmarkStart w:id="128" w:name="_Toc183696265"/>
      <w:bookmarkStart w:id="129" w:name="_Toc183696671"/>
      <w:bookmarkStart w:id="130" w:name="_Toc183795906"/>
      <w:bookmarkStart w:id="131" w:name="_Toc184124623"/>
      <w:r>
        <w:rPr>
          <w:rFonts w:hint="eastAsia"/>
        </w:rPr>
        <w:t>储藏类设施设备</w:t>
      </w:r>
      <w:bookmarkEnd w:id="127"/>
      <w:bookmarkEnd w:id="128"/>
      <w:bookmarkEnd w:id="129"/>
      <w:bookmarkEnd w:id="130"/>
      <w:bookmarkEnd w:id="131"/>
    </w:p>
    <w:p w14:paraId="6CDDA0E4" w14:textId="77777777" w:rsidR="00DD3D28" w:rsidRDefault="004A3D5A">
      <w:pPr>
        <w:pStyle w:val="affe"/>
        <w:spacing w:before="156" w:after="156"/>
        <w:rPr>
          <w:rFonts w:ascii="宋体" w:eastAsia="宋体"/>
        </w:rPr>
      </w:pPr>
      <w:bookmarkStart w:id="132" w:name="_Toc182987056"/>
      <w:bookmarkStart w:id="133" w:name="_Toc183696280"/>
      <w:bookmarkStart w:id="134" w:name="_Toc183696686"/>
      <w:bookmarkStart w:id="135" w:name="_Toc183795907"/>
      <w:bookmarkStart w:id="136" w:name="_Toc184124624"/>
      <w:r>
        <w:rPr>
          <w:rFonts w:ascii="宋体" w:eastAsia="宋体" w:hint="eastAsia"/>
        </w:rPr>
        <w:t>藏品库房门</w:t>
      </w:r>
      <w:bookmarkEnd w:id="132"/>
      <w:bookmarkEnd w:id="133"/>
      <w:bookmarkEnd w:id="134"/>
      <w:bookmarkEnd w:id="135"/>
      <w:bookmarkEnd w:id="136"/>
    </w:p>
    <w:p w14:paraId="0D72312F" w14:textId="0F0B7AB1" w:rsidR="00DD3D28" w:rsidRDefault="004A3D5A">
      <w:pPr>
        <w:pStyle w:val="af2"/>
      </w:pPr>
      <w:r>
        <w:rPr>
          <w:rFonts w:hint="eastAsia"/>
        </w:rPr>
        <w:lastRenderedPageBreak/>
        <w:t>作为藏品库区的重要设施设备，各类库房门应定期进行检查，确保其可靠性，宜半年</w:t>
      </w:r>
      <w:r w:rsidR="00166923">
        <w:rPr>
          <w:rFonts w:hint="eastAsia"/>
        </w:rPr>
        <w:t>1</w:t>
      </w:r>
      <w:r>
        <w:rPr>
          <w:rFonts w:hint="eastAsia"/>
        </w:rPr>
        <w:t>次。</w:t>
      </w:r>
    </w:p>
    <w:p w14:paraId="70D59058" w14:textId="77777777" w:rsidR="00DD3D28" w:rsidRDefault="004A3D5A">
      <w:pPr>
        <w:pStyle w:val="af2"/>
      </w:pPr>
      <w:r>
        <w:rPr>
          <w:rFonts w:hint="eastAsia"/>
        </w:rPr>
        <w:t>对库房门的门轴、铰链、锁具、生物识别等重要部件，应根据各技术特征定期进行维护保养，确保安全可靠。</w:t>
      </w:r>
    </w:p>
    <w:p w14:paraId="4C0F699E" w14:textId="2A339805" w:rsidR="00DD3D28" w:rsidRDefault="004A3D5A">
      <w:pPr>
        <w:pStyle w:val="af2"/>
      </w:pPr>
      <w:r>
        <w:rPr>
          <w:rFonts w:hint="eastAsia"/>
        </w:rPr>
        <w:t>库房门的开闭管理应做到专人专管，开启时应做好防窥措施。各</w:t>
      </w:r>
      <w:r w:rsidR="00C464EC">
        <w:rPr>
          <w:rFonts w:hint="eastAsia"/>
        </w:rPr>
        <w:t>美术馆</w:t>
      </w:r>
      <w:r>
        <w:rPr>
          <w:rFonts w:hint="eastAsia"/>
        </w:rPr>
        <w:t>宜根据自身组织情况制定专门的管理流程和防侵入措施，并做好相关记录。</w:t>
      </w:r>
    </w:p>
    <w:p w14:paraId="0653B0BD" w14:textId="77777777" w:rsidR="00DD3D28" w:rsidRDefault="004A3D5A">
      <w:pPr>
        <w:pStyle w:val="affe"/>
        <w:spacing w:before="156" w:after="156"/>
      </w:pPr>
      <w:bookmarkStart w:id="137" w:name="_Toc183696687"/>
      <w:bookmarkStart w:id="138" w:name="_Toc183696281"/>
      <w:bookmarkStart w:id="139" w:name="_Toc182987057"/>
      <w:bookmarkStart w:id="140" w:name="_Toc183795908"/>
      <w:bookmarkStart w:id="141" w:name="_Toc184124625"/>
      <w:r>
        <w:rPr>
          <w:rFonts w:hint="eastAsia"/>
        </w:rPr>
        <w:t>密集架、收纳柜（箱）</w:t>
      </w:r>
      <w:bookmarkEnd w:id="137"/>
      <w:bookmarkEnd w:id="138"/>
      <w:bookmarkEnd w:id="139"/>
      <w:bookmarkEnd w:id="140"/>
      <w:bookmarkEnd w:id="141"/>
    </w:p>
    <w:p w14:paraId="53AFEA12" w14:textId="4A768D3B" w:rsidR="00DD3D28" w:rsidRDefault="004A3D5A">
      <w:pPr>
        <w:pStyle w:val="af2"/>
      </w:pPr>
      <w:r>
        <w:rPr>
          <w:rFonts w:hint="eastAsia"/>
        </w:rPr>
        <w:t>收纳展品的重量、尺寸及摆放方式应符合密集架或收纳柜</w:t>
      </w:r>
      <w:r w:rsidR="00C464EC">
        <w:rPr>
          <w:rFonts w:hint="eastAsia"/>
        </w:rPr>
        <w:t>（箱）</w:t>
      </w:r>
      <w:r>
        <w:rPr>
          <w:rFonts w:hint="eastAsia"/>
        </w:rPr>
        <w:t>的荷载和空间要求。</w:t>
      </w:r>
    </w:p>
    <w:p w14:paraId="1EB3A336" w14:textId="77777777" w:rsidR="00DD3D28" w:rsidRDefault="004A3D5A">
      <w:pPr>
        <w:pStyle w:val="af2"/>
      </w:pPr>
      <w:r>
        <w:rPr>
          <w:rFonts w:hint="eastAsia"/>
        </w:rPr>
        <w:t>采用可移动密集架时，应确保其滑动轨道清洁无杂物，并定期对移动部件进行检查，一般宜每季度</w:t>
      </w:r>
      <w:r>
        <w:rPr>
          <w:rFonts w:hint="eastAsia"/>
        </w:rPr>
        <w:t>1</w:t>
      </w:r>
      <w:r>
        <w:rPr>
          <w:rFonts w:hint="eastAsia"/>
        </w:rPr>
        <w:t>次。</w:t>
      </w:r>
    </w:p>
    <w:p w14:paraId="6C890CF5" w14:textId="77777777" w:rsidR="00DD3D28" w:rsidRDefault="004A3D5A">
      <w:pPr>
        <w:pStyle w:val="af2"/>
      </w:pPr>
      <w:r>
        <w:rPr>
          <w:rFonts w:hint="eastAsia"/>
        </w:rPr>
        <w:t>如有防霉防虫设施设备，应定期检查耗材使用情况，及时更换。</w:t>
      </w:r>
    </w:p>
    <w:p w14:paraId="31BCE3F1" w14:textId="4B3747DE" w:rsidR="00DD3D28" w:rsidRDefault="0060389B">
      <w:pPr>
        <w:pStyle w:val="affe"/>
        <w:spacing w:before="156" w:after="156"/>
      </w:pPr>
      <w:bookmarkStart w:id="142" w:name="_Toc183696282"/>
      <w:bookmarkStart w:id="143" w:name="_Toc182987058"/>
      <w:bookmarkStart w:id="144" w:name="_Toc183696688"/>
      <w:bookmarkStart w:id="145" w:name="_Toc183795909"/>
      <w:bookmarkStart w:id="146" w:name="_Toc184124626"/>
      <w:r>
        <w:rPr>
          <w:rFonts w:hint="eastAsia"/>
        </w:rPr>
        <w:t>藏品库恒温恒湿设备</w:t>
      </w:r>
      <w:bookmarkEnd w:id="142"/>
      <w:bookmarkEnd w:id="143"/>
      <w:bookmarkEnd w:id="144"/>
      <w:bookmarkEnd w:id="145"/>
      <w:bookmarkEnd w:id="146"/>
    </w:p>
    <w:p w14:paraId="36815357" w14:textId="77777777" w:rsidR="00DD3D28" w:rsidRDefault="004A3D5A">
      <w:pPr>
        <w:pStyle w:val="af2"/>
      </w:pPr>
      <w:r>
        <w:rPr>
          <w:rFonts w:hint="eastAsia"/>
        </w:rPr>
        <w:t>库房空间的环境温湿度参数和运行情况，应每天进行监测和记录，记录信息存储时间应不小于</w:t>
      </w:r>
      <w:r>
        <w:rPr>
          <w:rFonts w:hint="eastAsia"/>
        </w:rPr>
        <w:t>3</w:t>
      </w:r>
      <w:r>
        <w:rPr>
          <w:rFonts w:hint="eastAsia"/>
        </w:rPr>
        <w:t>年。</w:t>
      </w:r>
    </w:p>
    <w:p w14:paraId="1A6712B0" w14:textId="77777777" w:rsidR="00DD3D28" w:rsidRDefault="004A3D5A">
      <w:pPr>
        <w:pStyle w:val="af2"/>
      </w:pPr>
      <w:r>
        <w:rPr>
          <w:rFonts w:hint="eastAsia"/>
        </w:rPr>
        <w:t>恒温恒湿设备工作区域应保持整洁，对恒温恒湿设备滤网部分每月宜进行不少于</w:t>
      </w:r>
      <w:r>
        <w:rPr>
          <w:rFonts w:hint="eastAsia"/>
        </w:rPr>
        <w:t>1</w:t>
      </w:r>
      <w:r>
        <w:rPr>
          <w:rFonts w:hint="eastAsia"/>
        </w:rPr>
        <w:t>次清洗消毒或必要时进行更换、对管道部分每年宜进行不少于</w:t>
      </w:r>
      <w:r>
        <w:rPr>
          <w:rFonts w:hint="eastAsia"/>
        </w:rPr>
        <w:t>1</w:t>
      </w:r>
      <w:r>
        <w:rPr>
          <w:rFonts w:hint="eastAsia"/>
        </w:rPr>
        <w:t>次清洗消毒。</w:t>
      </w:r>
    </w:p>
    <w:p w14:paraId="7F44BADB" w14:textId="77777777" w:rsidR="00DD3D28" w:rsidRDefault="004A3D5A">
      <w:pPr>
        <w:pStyle w:val="af2"/>
      </w:pPr>
      <w:r>
        <w:rPr>
          <w:rFonts w:hint="eastAsia"/>
        </w:rPr>
        <w:t>恒温恒湿设备中的加湿部件应定期进行消毒和除垢工作。</w:t>
      </w:r>
    </w:p>
    <w:p w14:paraId="0AC16A5C" w14:textId="77777777" w:rsidR="00DD3D28" w:rsidRDefault="004A3D5A">
      <w:pPr>
        <w:pStyle w:val="af2"/>
      </w:pPr>
      <w:r>
        <w:rPr>
          <w:rFonts w:hint="eastAsia"/>
        </w:rPr>
        <w:t>恒温恒湿设备的相关传感器和执行器，应每年至少进行</w:t>
      </w:r>
      <w:r>
        <w:rPr>
          <w:rFonts w:hint="eastAsia"/>
        </w:rPr>
        <w:t>1</w:t>
      </w:r>
      <w:r>
        <w:rPr>
          <w:rFonts w:hint="eastAsia"/>
        </w:rPr>
        <w:t>次校准</w:t>
      </w:r>
      <w:r>
        <w:rPr>
          <w:rFonts w:hint="eastAsia"/>
        </w:rPr>
        <w:t>。</w:t>
      </w:r>
    </w:p>
    <w:p w14:paraId="3919F635" w14:textId="77777777" w:rsidR="00DD3D28" w:rsidRDefault="004A3D5A">
      <w:pPr>
        <w:pStyle w:val="af2"/>
      </w:pPr>
      <w:r>
        <w:rPr>
          <w:rFonts w:hint="eastAsia"/>
        </w:rPr>
        <w:t>恒温恒湿设备运行</w:t>
      </w:r>
      <w:r>
        <w:rPr>
          <w:rFonts w:hint="eastAsia"/>
        </w:rPr>
        <w:t>5</w:t>
      </w:r>
      <w:r>
        <w:rPr>
          <w:rFonts w:hint="eastAsia"/>
        </w:rPr>
        <w:t>年内，宜每季度维护不少于</w:t>
      </w:r>
      <w:r>
        <w:rPr>
          <w:rFonts w:hint="eastAsia"/>
        </w:rPr>
        <w:t>1</w:t>
      </w:r>
      <w:r>
        <w:rPr>
          <w:rFonts w:hint="eastAsia"/>
        </w:rPr>
        <w:t>次。运行</w:t>
      </w:r>
      <w:r>
        <w:rPr>
          <w:rFonts w:hint="eastAsia"/>
        </w:rPr>
        <w:t>5</w:t>
      </w:r>
      <w:r>
        <w:rPr>
          <w:rFonts w:hint="eastAsia"/>
        </w:rPr>
        <w:t>年后宜每月维护不少于</w:t>
      </w:r>
      <w:r>
        <w:rPr>
          <w:rFonts w:hint="eastAsia"/>
        </w:rPr>
        <w:t>1</w:t>
      </w:r>
      <w:r>
        <w:rPr>
          <w:rFonts w:hint="eastAsia"/>
        </w:rPr>
        <w:t>次。</w:t>
      </w:r>
    </w:p>
    <w:p w14:paraId="34071E3B" w14:textId="77777777" w:rsidR="00DD3D28" w:rsidRDefault="004A3D5A">
      <w:pPr>
        <w:pStyle w:val="af2"/>
      </w:pPr>
      <w:r>
        <w:rPr>
          <w:rFonts w:hint="eastAsia"/>
        </w:rPr>
        <w:t>展区、备展区、机房等区域如有其他恒温恒湿设备，可参照库房恒温恒湿设备运行维护管理办法。其他相关技术要求参照</w:t>
      </w:r>
      <w:r>
        <w:rPr>
          <w:rFonts w:hint="eastAsia"/>
        </w:rPr>
        <w:t>JGJ</w:t>
      </w:r>
      <w:r>
        <w:t xml:space="preserve"> 66</w:t>
      </w:r>
      <w:r>
        <w:rPr>
          <w:rFonts w:hint="eastAsia"/>
        </w:rPr>
        <w:t>相关规定执行。</w:t>
      </w:r>
    </w:p>
    <w:p w14:paraId="101F8225" w14:textId="77777777" w:rsidR="00DD3D28" w:rsidRDefault="004A3D5A">
      <w:pPr>
        <w:pStyle w:val="affe"/>
        <w:spacing w:before="156" w:after="156"/>
      </w:pPr>
      <w:bookmarkStart w:id="147" w:name="_Toc183696283"/>
      <w:bookmarkStart w:id="148" w:name="_Toc183795910"/>
      <w:bookmarkStart w:id="149" w:name="_Toc182987059"/>
      <w:bookmarkStart w:id="150" w:name="_Toc183696689"/>
      <w:bookmarkStart w:id="151" w:name="_Toc184124627"/>
      <w:r>
        <w:rPr>
          <w:rFonts w:hint="eastAsia"/>
        </w:rPr>
        <w:t>保养修复设备</w:t>
      </w:r>
      <w:bookmarkEnd w:id="147"/>
      <w:bookmarkEnd w:id="148"/>
      <w:bookmarkEnd w:id="149"/>
      <w:bookmarkEnd w:id="150"/>
      <w:bookmarkEnd w:id="151"/>
    </w:p>
    <w:p w14:paraId="23D08E93" w14:textId="77777777" w:rsidR="00DD3D28" w:rsidRDefault="004A3D5A">
      <w:pPr>
        <w:pStyle w:val="af2"/>
      </w:pPr>
      <w:r>
        <w:rPr>
          <w:rFonts w:hint="eastAsia"/>
        </w:rPr>
        <w:t>保养修复设备应定期进行保养清洁和功能检修，相关耗材应根据其质保期限即时更换。</w:t>
      </w:r>
    </w:p>
    <w:p w14:paraId="12FA5BAC" w14:textId="77777777" w:rsidR="00DD3D28" w:rsidRDefault="004A3D5A">
      <w:pPr>
        <w:pStyle w:val="af2"/>
      </w:pPr>
      <w:r>
        <w:rPr>
          <w:rFonts w:hint="eastAsia"/>
        </w:rPr>
        <w:t>保养修复设备每次使用后应做好清洁归位工作，避免出现霉变和腐蚀现象。</w:t>
      </w:r>
    </w:p>
    <w:p w14:paraId="299B86CA" w14:textId="77777777" w:rsidR="00DD3D28" w:rsidRDefault="004A3D5A">
      <w:pPr>
        <w:pStyle w:val="af2"/>
      </w:pPr>
      <w:r>
        <w:rPr>
          <w:rFonts w:hint="eastAsia"/>
        </w:rPr>
        <w:t>藏品消毒杀虫设备整</w:t>
      </w:r>
      <w:r>
        <w:rPr>
          <w:rFonts w:hint="eastAsia"/>
          <w:lang w:bidi="ar"/>
        </w:rPr>
        <w:t>机保持清洁，柜门密封橡胶条每次使用前用湿布擦拭清洁一次。</w:t>
      </w:r>
    </w:p>
    <w:p w14:paraId="4E8EBACA" w14:textId="77777777" w:rsidR="00DD3D28" w:rsidRDefault="004A3D5A">
      <w:pPr>
        <w:pStyle w:val="af2"/>
      </w:pPr>
      <w:r>
        <w:rPr>
          <w:rFonts w:hint="eastAsia"/>
          <w:lang w:bidi="ar"/>
        </w:rPr>
        <w:t>低氧杀虫柜柜体每月应该清洁一次。消毒杀虫前，应观查加湿器是否有自动补水，需达到水位要求后方可启动。根据设备技术要求，应在停机状态下操作清理</w:t>
      </w:r>
      <w:proofErr w:type="gramStart"/>
      <w:r>
        <w:rPr>
          <w:rFonts w:hint="eastAsia"/>
          <w:lang w:bidi="ar"/>
        </w:rPr>
        <w:t>补水器接水盘</w:t>
      </w:r>
      <w:proofErr w:type="gramEnd"/>
      <w:r>
        <w:rPr>
          <w:rFonts w:hint="eastAsia"/>
          <w:lang w:bidi="ar"/>
        </w:rPr>
        <w:t>中废水。</w:t>
      </w:r>
    </w:p>
    <w:p w14:paraId="54A0B531" w14:textId="77777777" w:rsidR="00DD3D28" w:rsidRDefault="004A3D5A">
      <w:pPr>
        <w:pStyle w:val="affd"/>
        <w:spacing w:before="156" w:after="156"/>
      </w:pPr>
      <w:bookmarkStart w:id="152" w:name="_Toc183696690"/>
      <w:bookmarkStart w:id="153" w:name="_Toc182987060"/>
      <w:bookmarkStart w:id="154" w:name="_Toc183795911"/>
      <w:bookmarkStart w:id="155" w:name="_Toc183696284"/>
      <w:bookmarkStart w:id="156" w:name="_Toc184124628"/>
      <w:r>
        <w:rPr>
          <w:rFonts w:hint="eastAsia"/>
        </w:rPr>
        <w:t>展览类设施设备</w:t>
      </w:r>
      <w:bookmarkEnd w:id="152"/>
      <w:bookmarkEnd w:id="153"/>
      <w:bookmarkEnd w:id="154"/>
      <w:bookmarkEnd w:id="155"/>
      <w:bookmarkEnd w:id="156"/>
    </w:p>
    <w:p w14:paraId="34540287" w14:textId="77777777" w:rsidR="00DD3D28" w:rsidRDefault="004A3D5A">
      <w:pPr>
        <w:pStyle w:val="affe"/>
        <w:spacing w:before="156" w:after="156"/>
        <w:rPr>
          <w:rFonts w:ascii="宋体" w:eastAsia="宋体"/>
        </w:rPr>
      </w:pPr>
      <w:bookmarkStart w:id="157" w:name="_Toc183696691"/>
      <w:bookmarkStart w:id="158" w:name="_Toc182987061"/>
      <w:bookmarkStart w:id="159" w:name="_Toc183696285"/>
      <w:bookmarkStart w:id="160" w:name="_Toc183795912"/>
      <w:bookmarkStart w:id="161" w:name="_Toc184124629"/>
      <w:r>
        <w:rPr>
          <w:rFonts w:hint="eastAsia"/>
        </w:rPr>
        <w:t>展墙</w:t>
      </w:r>
      <w:bookmarkEnd w:id="157"/>
      <w:bookmarkEnd w:id="158"/>
      <w:bookmarkEnd w:id="159"/>
      <w:bookmarkEnd w:id="160"/>
      <w:bookmarkEnd w:id="161"/>
    </w:p>
    <w:p w14:paraId="15F1B3D6" w14:textId="77777777" w:rsidR="00DD3D28" w:rsidRDefault="004A3D5A">
      <w:pPr>
        <w:pStyle w:val="af2"/>
      </w:pPr>
      <w:r>
        <w:rPr>
          <w:rFonts w:hint="eastAsia"/>
        </w:rPr>
        <w:t>展墙一般分为固定展墙和活动展墙。</w:t>
      </w:r>
    </w:p>
    <w:p w14:paraId="748CD475" w14:textId="77777777" w:rsidR="00DD3D28" w:rsidRDefault="004A3D5A">
      <w:pPr>
        <w:pStyle w:val="af2"/>
      </w:pPr>
      <w:r>
        <w:rPr>
          <w:rFonts w:hint="eastAsia"/>
        </w:rPr>
        <w:t>展墙使用前，应对其安全进行检查，符合要求后方可投入使用。</w:t>
      </w:r>
    </w:p>
    <w:p w14:paraId="59BF83CA" w14:textId="77777777" w:rsidR="00DD3D28" w:rsidRDefault="004A3D5A">
      <w:pPr>
        <w:pStyle w:val="af2"/>
      </w:pPr>
      <w:r>
        <w:rPr>
          <w:rFonts w:hint="eastAsia"/>
        </w:rPr>
        <w:t>展墙使用中，宜根据所用展墙的材料特性进行合适的钉、挂、粘等方式，应避免野蛮施作。</w:t>
      </w:r>
    </w:p>
    <w:p w14:paraId="232FBCD1" w14:textId="77777777" w:rsidR="00DD3D28" w:rsidRDefault="004A3D5A">
      <w:pPr>
        <w:pStyle w:val="af2"/>
      </w:pPr>
      <w:r>
        <w:rPr>
          <w:rFonts w:hint="eastAsia"/>
        </w:rPr>
        <w:t>展墙表面附着物应在展墙有效荷载范围内，活动展墙正反墙面荷载重量宜保持平衡。</w:t>
      </w:r>
    </w:p>
    <w:p w14:paraId="796B6EFF" w14:textId="77777777" w:rsidR="00DD3D28" w:rsidRDefault="004A3D5A">
      <w:pPr>
        <w:pStyle w:val="af2"/>
      </w:pPr>
      <w:r>
        <w:rPr>
          <w:rFonts w:hint="eastAsia"/>
        </w:rPr>
        <w:t>展墙宜在使用一段时间后对墙面进行修复和重新粉刷，所使用修复材料应满足国家相关环保</w:t>
      </w:r>
      <w:r>
        <w:rPr>
          <w:rFonts w:hint="eastAsia"/>
        </w:rPr>
        <w:t>要求。</w:t>
      </w:r>
    </w:p>
    <w:p w14:paraId="298E1B02" w14:textId="77777777" w:rsidR="00DD3D28" w:rsidRDefault="004A3D5A">
      <w:pPr>
        <w:pStyle w:val="af2"/>
      </w:pPr>
      <w:r>
        <w:rPr>
          <w:rFonts w:hint="eastAsia"/>
        </w:rPr>
        <w:t>活动展墙不使用时，宜有专用空间进行收纳，或整齐靠墙摆放，并做好固定和防护措施。</w:t>
      </w:r>
    </w:p>
    <w:p w14:paraId="4BAEE4A2" w14:textId="61687262" w:rsidR="00DD3D28" w:rsidRDefault="004A3D5A">
      <w:pPr>
        <w:pStyle w:val="af2"/>
      </w:pPr>
      <w:r>
        <w:rPr>
          <w:rFonts w:hint="eastAsia"/>
        </w:rPr>
        <w:t>活动展墙应对支撑和移动部件进行定期检查，确保安全可靠，并做好维护工作</w:t>
      </w:r>
      <w:r w:rsidR="00166923">
        <w:rPr>
          <w:rFonts w:hint="eastAsia"/>
        </w:rPr>
        <w:t>，宜每月不少于1次</w:t>
      </w:r>
      <w:r>
        <w:rPr>
          <w:rFonts w:hint="eastAsia"/>
        </w:rPr>
        <w:t>。</w:t>
      </w:r>
    </w:p>
    <w:p w14:paraId="3DE7BD0A" w14:textId="77777777" w:rsidR="00166923" w:rsidRDefault="00166923" w:rsidP="00166923">
      <w:pPr>
        <w:pStyle w:val="af2"/>
        <w:numPr>
          <w:ilvl w:val="0"/>
          <w:numId w:val="0"/>
        </w:numPr>
        <w:ind w:left="851"/>
      </w:pPr>
    </w:p>
    <w:p w14:paraId="0F85EA94" w14:textId="77777777" w:rsidR="00DD3D28" w:rsidRDefault="004A3D5A">
      <w:pPr>
        <w:pStyle w:val="affe"/>
        <w:spacing w:before="156" w:after="156"/>
      </w:pPr>
      <w:bookmarkStart w:id="162" w:name="_Toc183696692"/>
      <w:bookmarkStart w:id="163" w:name="_Toc182987062"/>
      <w:bookmarkStart w:id="164" w:name="_Toc183795913"/>
      <w:bookmarkStart w:id="165" w:name="_Toc183696286"/>
      <w:bookmarkStart w:id="166" w:name="_Toc184124630"/>
      <w:r>
        <w:rPr>
          <w:rFonts w:hint="eastAsia"/>
        </w:rPr>
        <w:lastRenderedPageBreak/>
        <w:t>展柜</w:t>
      </w:r>
      <w:bookmarkEnd w:id="162"/>
      <w:bookmarkEnd w:id="163"/>
      <w:bookmarkEnd w:id="164"/>
      <w:bookmarkEnd w:id="165"/>
      <w:bookmarkEnd w:id="166"/>
    </w:p>
    <w:p w14:paraId="1F84ED6F" w14:textId="77777777" w:rsidR="00DD3D28" w:rsidRDefault="004A3D5A">
      <w:pPr>
        <w:pStyle w:val="af2"/>
      </w:pPr>
      <w:r>
        <w:rPr>
          <w:rFonts w:hint="eastAsia"/>
        </w:rPr>
        <w:t>根据</w:t>
      </w:r>
      <w:r>
        <w:rPr>
          <w:rFonts w:hint="eastAsia"/>
        </w:rPr>
        <w:t>GB/T 36110</w:t>
      </w:r>
      <w:r>
        <w:rPr>
          <w:rFonts w:hint="eastAsia"/>
        </w:rPr>
        <w:t>的相关规定，展柜分为高密封展柜、密封展柜和一般展柜。</w:t>
      </w:r>
    </w:p>
    <w:p w14:paraId="4995819B" w14:textId="77777777" w:rsidR="00DD3D28" w:rsidRDefault="004A3D5A">
      <w:pPr>
        <w:pStyle w:val="af2"/>
      </w:pPr>
      <w:r>
        <w:rPr>
          <w:rFonts w:hint="eastAsia"/>
        </w:rPr>
        <w:t>采用展柜布展时，所在展厅出入口宜关闭，减少空间温湿度流动变化。</w:t>
      </w:r>
    </w:p>
    <w:p w14:paraId="0799FFB0" w14:textId="77777777" w:rsidR="00DD3D28" w:rsidRDefault="004A3D5A">
      <w:pPr>
        <w:pStyle w:val="af2"/>
      </w:pPr>
      <w:r>
        <w:rPr>
          <w:rFonts w:hint="eastAsia"/>
        </w:rPr>
        <w:t>展览过程中不宜进行展柜的二次开启，以利于保持展柜内的温湿度空气环境。</w:t>
      </w:r>
    </w:p>
    <w:p w14:paraId="39F2B763" w14:textId="77777777" w:rsidR="00DD3D28" w:rsidRDefault="004A3D5A">
      <w:pPr>
        <w:pStyle w:val="af2"/>
      </w:pPr>
      <w:r>
        <w:rPr>
          <w:rFonts w:hint="eastAsia"/>
        </w:rPr>
        <w:t>展柜布展结束和展览结束后，应对展柜内部进行清洁处理。展览时宜有保洁人员每天进行展柜外侧玻璃清洁工作。</w:t>
      </w:r>
    </w:p>
    <w:p w14:paraId="2F723080" w14:textId="77777777" w:rsidR="00DD3D28" w:rsidRDefault="004A3D5A">
      <w:pPr>
        <w:pStyle w:val="af2"/>
      </w:pPr>
      <w:r>
        <w:rPr>
          <w:rFonts w:hint="eastAsia"/>
        </w:rPr>
        <w:t>应定期检查柜</w:t>
      </w:r>
      <w:r>
        <w:rPr>
          <w:rFonts w:hint="eastAsia"/>
        </w:rPr>
        <w:t>门的开启性能，确保开闭使用的安全性，一般宜半年</w:t>
      </w:r>
      <w:r>
        <w:rPr>
          <w:rFonts w:hint="eastAsia"/>
        </w:rPr>
        <w:t>1</w:t>
      </w:r>
      <w:r>
        <w:rPr>
          <w:rFonts w:hint="eastAsia"/>
        </w:rPr>
        <w:t>次。</w:t>
      </w:r>
    </w:p>
    <w:p w14:paraId="4ABB68AE" w14:textId="54DF3B58" w:rsidR="00DD3D28" w:rsidRDefault="004A3D5A">
      <w:pPr>
        <w:pStyle w:val="af2"/>
      </w:pPr>
      <w:r>
        <w:rPr>
          <w:rFonts w:hint="eastAsia"/>
        </w:rPr>
        <w:t>应定期</w:t>
      </w:r>
      <w:proofErr w:type="gramStart"/>
      <w:r>
        <w:rPr>
          <w:rFonts w:hint="eastAsia"/>
        </w:rPr>
        <w:t>检测高密封</w:t>
      </w:r>
      <w:proofErr w:type="gramEnd"/>
      <w:r>
        <w:rPr>
          <w:rFonts w:hint="eastAsia"/>
        </w:rPr>
        <w:t>展柜和密封展柜的密闭性能，一般</w:t>
      </w:r>
      <w:r w:rsidR="00271A96">
        <w:rPr>
          <w:rFonts w:hint="eastAsia"/>
        </w:rPr>
        <w:t>宜</w:t>
      </w:r>
      <w:r w:rsidR="00C464EC">
        <w:rPr>
          <w:rFonts w:hint="eastAsia"/>
        </w:rPr>
        <w:t>每</w:t>
      </w:r>
      <w:r>
        <w:rPr>
          <w:rFonts w:hint="eastAsia"/>
        </w:rPr>
        <w:t>年</w:t>
      </w:r>
      <w:r>
        <w:rPr>
          <w:rFonts w:hint="eastAsia"/>
        </w:rPr>
        <w:t>1</w:t>
      </w:r>
      <w:r>
        <w:rPr>
          <w:rFonts w:hint="eastAsia"/>
        </w:rPr>
        <w:t>次。</w:t>
      </w:r>
    </w:p>
    <w:p w14:paraId="12ABAE4F" w14:textId="77777777" w:rsidR="00DD3D28" w:rsidRDefault="004A3D5A">
      <w:pPr>
        <w:pStyle w:val="af2"/>
      </w:pPr>
      <w:r>
        <w:rPr>
          <w:rFonts w:hint="eastAsia"/>
        </w:rPr>
        <w:t>带有恒温恒湿设备的展柜，使用前应确保恒温恒湿设备能正常运行并提前启用。恒湿设备的传感器应每年至少校准</w:t>
      </w:r>
      <w:r>
        <w:rPr>
          <w:rFonts w:hint="eastAsia"/>
        </w:rPr>
        <w:t>1</w:t>
      </w:r>
      <w:r>
        <w:rPr>
          <w:rFonts w:hint="eastAsia"/>
        </w:rPr>
        <w:t>次。滤网部分每年宜进行不少于</w:t>
      </w:r>
      <w:r>
        <w:rPr>
          <w:rFonts w:hint="eastAsia"/>
        </w:rPr>
        <w:t>4</w:t>
      </w:r>
      <w:r>
        <w:rPr>
          <w:rFonts w:hint="eastAsia"/>
        </w:rPr>
        <w:t>次清洗消毒，对管道等部件每年宜进行不少于</w:t>
      </w:r>
      <w:r>
        <w:rPr>
          <w:rFonts w:hint="eastAsia"/>
        </w:rPr>
        <w:t>1</w:t>
      </w:r>
      <w:r>
        <w:rPr>
          <w:rFonts w:hint="eastAsia"/>
        </w:rPr>
        <w:t>次清洗消毒。对恒温恒湿设备维护每年宜不少于</w:t>
      </w:r>
      <w:r>
        <w:rPr>
          <w:rFonts w:hint="eastAsia"/>
        </w:rPr>
        <w:t>4</w:t>
      </w:r>
      <w:r>
        <w:rPr>
          <w:rFonts w:hint="eastAsia"/>
        </w:rPr>
        <w:t>次。</w:t>
      </w:r>
    </w:p>
    <w:p w14:paraId="5F4AD108" w14:textId="77777777" w:rsidR="00DD3D28" w:rsidRDefault="004A3D5A">
      <w:pPr>
        <w:pStyle w:val="af2"/>
      </w:pPr>
      <w:r>
        <w:rPr>
          <w:rFonts w:hint="eastAsia"/>
        </w:rPr>
        <w:t>采用柜内自带独立恒温恒湿设备的，应定时检查水箱是否漏水、水位状态是否正常及设备运行噪音情况。</w:t>
      </w:r>
    </w:p>
    <w:p w14:paraId="544212EC" w14:textId="77777777" w:rsidR="00DD3D28" w:rsidRDefault="004A3D5A">
      <w:pPr>
        <w:pStyle w:val="affe"/>
        <w:spacing w:before="156" w:after="156"/>
      </w:pPr>
      <w:bookmarkStart w:id="167" w:name="_Toc183696287"/>
      <w:bookmarkStart w:id="168" w:name="_Toc182987063"/>
      <w:bookmarkStart w:id="169" w:name="_Toc183696693"/>
      <w:bookmarkStart w:id="170" w:name="_Toc183795914"/>
      <w:bookmarkStart w:id="171" w:name="_Toc184124631"/>
      <w:r>
        <w:rPr>
          <w:rFonts w:hint="eastAsia"/>
        </w:rPr>
        <w:t>展览照明</w:t>
      </w:r>
      <w:bookmarkEnd w:id="167"/>
      <w:bookmarkEnd w:id="168"/>
      <w:bookmarkEnd w:id="169"/>
      <w:bookmarkEnd w:id="170"/>
      <w:bookmarkEnd w:id="171"/>
    </w:p>
    <w:p w14:paraId="05DCBA9C" w14:textId="77777777" w:rsidR="00DD3D28" w:rsidRDefault="004A3D5A">
      <w:pPr>
        <w:pStyle w:val="af2"/>
      </w:pPr>
      <w:r>
        <w:rPr>
          <w:rFonts w:hint="eastAsia"/>
        </w:rPr>
        <w:t>展览照明设备及其配件宜设有单独的存储区域，分类放置（一般分为灯具、光学配件、固定配件、防眩光配件等），做好标识，并具有防尘、防湿、防震等保护措施。</w:t>
      </w:r>
    </w:p>
    <w:p w14:paraId="7FEFA219" w14:textId="77777777" w:rsidR="00DD3D28" w:rsidRDefault="004A3D5A">
      <w:pPr>
        <w:pStyle w:val="af2"/>
      </w:pPr>
      <w:r>
        <w:rPr>
          <w:rFonts w:hint="eastAsia"/>
        </w:rPr>
        <w:t>应定期对展览照明设备的照度和光色质量进行测量，作好记录，并与灯具初始参数进行比对，不符合相关参数要求的应进行维修或更换。相关参数要求应参照</w:t>
      </w:r>
      <w:r>
        <w:t>GB/T 23863</w:t>
      </w:r>
      <w:r>
        <w:rPr>
          <w:rFonts w:hint="eastAsia"/>
        </w:rPr>
        <w:t>要求。</w:t>
      </w:r>
    </w:p>
    <w:p w14:paraId="272A9876" w14:textId="77777777" w:rsidR="00DD3D28" w:rsidRDefault="004A3D5A">
      <w:pPr>
        <w:pStyle w:val="af2"/>
      </w:pPr>
      <w:r>
        <w:rPr>
          <w:rFonts w:hint="eastAsia"/>
        </w:rPr>
        <w:t>应定期对展览照明设备的供电线路进行检查，确保用电线路安全及稳定。</w:t>
      </w:r>
    </w:p>
    <w:p w14:paraId="2827B89E" w14:textId="77777777" w:rsidR="00DD3D28" w:rsidRDefault="004A3D5A">
      <w:pPr>
        <w:pStyle w:val="af2"/>
      </w:pPr>
      <w:r>
        <w:rPr>
          <w:rFonts w:hint="eastAsia"/>
        </w:rPr>
        <w:t>采用轨道类展览照明灯具时，应确保轨道的完整性、牢固性，以及导轨与导轨、灯具与轨道之间连接的可靠性。</w:t>
      </w:r>
    </w:p>
    <w:p w14:paraId="16E23F65" w14:textId="77777777" w:rsidR="00DD3D28" w:rsidRDefault="004A3D5A">
      <w:pPr>
        <w:pStyle w:val="af2"/>
      </w:pPr>
      <w:r>
        <w:rPr>
          <w:rFonts w:hint="eastAsia"/>
        </w:rPr>
        <w:t>展览照明设备一般设有单独的控制系</w:t>
      </w:r>
      <w:r>
        <w:rPr>
          <w:rFonts w:hint="eastAsia"/>
        </w:rPr>
        <w:t>统，应定期对其控制系统设备的性能进行全面检查，一般宜半年</w:t>
      </w:r>
      <w:r>
        <w:rPr>
          <w:rFonts w:hint="eastAsia"/>
        </w:rPr>
        <w:t>1</w:t>
      </w:r>
      <w:r>
        <w:rPr>
          <w:rFonts w:hint="eastAsia"/>
        </w:rPr>
        <w:t>次。</w:t>
      </w:r>
    </w:p>
    <w:p w14:paraId="00A6CFCD" w14:textId="77777777" w:rsidR="00DD3D28" w:rsidRDefault="004A3D5A">
      <w:pPr>
        <w:pStyle w:val="af2"/>
      </w:pPr>
      <w:r>
        <w:rPr>
          <w:rFonts w:hint="eastAsia"/>
        </w:rPr>
        <w:t>展览期间进行维护时，展览照明设备的位置和照射瞄准角在维护前后应保持一致，并采取必要措施保护展品不受损害。</w:t>
      </w:r>
    </w:p>
    <w:p w14:paraId="1A7E913D" w14:textId="77777777" w:rsidR="00DD3D28" w:rsidRDefault="004A3D5A">
      <w:pPr>
        <w:pStyle w:val="af2"/>
      </w:pPr>
      <w:r>
        <w:rPr>
          <w:rFonts w:hint="eastAsia"/>
        </w:rPr>
        <w:t>更换展览时，应重新对展览照明设备进行调试。</w:t>
      </w:r>
    </w:p>
    <w:p w14:paraId="0496999F" w14:textId="173F5337" w:rsidR="00DD3D28" w:rsidRDefault="004A3D5A">
      <w:pPr>
        <w:pStyle w:val="af2"/>
      </w:pPr>
      <w:r>
        <w:rPr>
          <w:rFonts w:hint="eastAsia"/>
        </w:rPr>
        <w:t>展览照明设备应保持一定的清洁度，每年清洁擦拭次数宜</w:t>
      </w:r>
      <w:r w:rsidR="00C464EC">
        <w:rPr>
          <w:rFonts w:hint="eastAsia"/>
        </w:rPr>
        <w:t>不</w:t>
      </w:r>
      <w:r>
        <w:rPr>
          <w:rFonts w:hint="eastAsia"/>
        </w:rPr>
        <w:t>少于</w:t>
      </w:r>
      <w:r>
        <w:rPr>
          <w:rFonts w:hint="eastAsia"/>
        </w:rPr>
        <w:t>2</w:t>
      </w:r>
      <w:r>
        <w:rPr>
          <w:rFonts w:hint="eastAsia"/>
        </w:rPr>
        <w:t>次。</w:t>
      </w:r>
    </w:p>
    <w:p w14:paraId="20901A2E" w14:textId="0BC14962" w:rsidR="00DD3D28" w:rsidRDefault="004A3D5A">
      <w:pPr>
        <w:pStyle w:val="affe"/>
        <w:spacing w:before="156" w:after="156"/>
      </w:pPr>
      <w:bookmarkStart w:id="172" w:name="_Toc183696288"/>
      <w:bookmarkStart w:id="173" w:name="_Toc183696694"/>
      <w:bookmarkStart w:id="174" w:name="_Toc182987064"/>
      <w:bookmarkStart w:id="175" w:name="_Toc183795915"/>
      <w:bookmarkStart w:id="176" w:name="_Toc184124632"/>
      <w:r>
        <w:rPr>
          <w:rFonts w:hint="eastAsia"/>
        </w:rPr>
        <w:t>登高及运</w:t>
      </w:r>
      <w:bookmarkEnd w:id="172"/>
      <w:bookmarkEnd w:id="173"/>
      <w:bookmarkEnd w:id="174"/>
      <w:bookmarkEnd w:id="175"/>
      <w:bookmarkEnd w:id="176"/>
      <w:r w:rsidR="00166923">
        <w:rPr>
          <w:rFonts w:hint="eastAsia"/>
        </w:rPr>
        <w:t>载</w:t>
      </w:r>
    </w:p>
    <w:p w14:paraId="53491563" w14:textId="39FC2630" w:rsidR="00DD3D28" w:rsidRDefault="004A3D5A">
      <w:pPr>
        <w:pStyle w:val="af2"/>
      </w:pPr>
      <w:r>
        <w:rPr>
          <w:rFonts w:hint="eastAsia"/>
        </w:rPr>
        <w:t>布展用登高及运</w:t>
      </w:r>
      <w:r w:rsidR="00166923">
        <w:rPr>
          <w:rFonts w:hint="eastAsia"/>
        </w:rPr>
        <w:t>载</w:t>
      </w:r>
      <w:r>
        <w:rPr>
          <w:rFonts w:hint="eastAsia"/>
        </w:rPr>
        <w:t>设备，不论是自行定制还是特种成品设备，应定期检查其安全性能，一般宜每季度</w:t>
      </w:r>
      <w:r>
        <w:rPr>
          <w:rFonts w:hint="eastAsia"/>
        </w:rPr>
        <w:t>1</w:t>
      </w:r>
      <w:r>
        <w:rPr>
          <w:rFonts w:hint="eastAsia"/>
        </w:rPr>
        <w:t>次。</w:t>
      </w:r>
    </w:p>
    <w:p w14:paraId="35C661C7" w14:textId="006E942D" w:rsidR="00DD3D28" w:rsidRDefault="004A3D5A">
      <w:pPr>
        <w:pStyle w:val="af2"/>
      </w:pPr>
      <w:r>
        <w:rPr>
          <w:rFonts w:hint="eastAsia"/>
        </w:rPr>
        <w:t>布展用登高及运</w:t>
      </w:r>
      <w:r w:rsidR="00166923">
        <w:rPr>
          <w:rFonts w:hint="eastAsia"/>
        </w:rPr>
        <w:t>载</w:t>
      </w:r>
      <w:r>
        <w:rPr>
          <w:rFonts w:hint="eastAsia"/>
        </w:rPr>
        <w:t>设备的移动轮宜采用硬质橡胶材质，避免对地面产生损伤。移动轮应有很好的移动性能，并配制动刹车装置。登高设施设备的</w:t>
      </w:r>
      <w:r>
        <w:rPr>
          <w:rFonts w:hint="eastAsia"/>
        </w:rPr>
        <w:t>作业平台应有不低于</w:t>
      </w:r>
      <w:r>
        <w:rPr>
          <w:rFonts w:hint="eastAsia"/>
        </w:rPr>
        <w:t>90cm</w:t>
      </w:r>
      <w:r>
        <w:rPr>
          <w:rFonts w:hint="eastAsia"/>
        </w:rPr>
        <w:t>的安全围栏。</w:t>
      </w:r>
    </w:p>
    <w:p w14:paraId="16A1D32E" w14:textId="0D3F81B6" w:rsidR="00DD3D28" w:rsidRDefault="004A3D5A">
      <w:pPr>
        <w:pStyle w:val="af2"/>
      </w:pPr>
      <w:r>
        <w:rPr>
          <w:rFonts w:hint="eastAsia"/>
        </w:rPr>
        <w:t>布展用运</w:t>
      </w:r>
      <w:r w:rsidR="00166923">
        <w:rPr>
          <w:rFonts w:hint="eastAsia"/>
        </w:rPr>
        <w:t>载</w:t>
      </w:r>
      <w:r>
        <w:rPr>
          <w:rFonts w:hint="eastAsia"/>
        </w:rPr>
        <w:t>设备宜定期进行保养清洁和功能检修，根据使用频率，一般宜每季度</w:t>
      </w:r>
      <w:r>
        <w:rPr>
          <w:rFonts w:hint="eastAsia"/>
        </w:rPr>
        <w:t>1</w:t>
      </w:r>
      <w:r>
        <w:rPr>
          <w:rFonts w:hint="eastAsia"/>
        </w:rPr>
        <w:t>次。</w:t>
      </w:r>
    </w:p>
    <w:p w14:paraId="35DFFAE8" w14:textId="2D02FAFE" w:rsidR="00166923" w:rsidRDefault="00166923" w:rsidP="00166923">
      <w:pPr>
        <w:pStyle w:val="af2"/>
      </w:pPr>
      <w:r>
        <w:rPr>
          <w:rFonts w:hint="eastAsia"/>
        </w:rPr>
        <w:t>运载设备进入库区前应做清洁处理。</w:t>
      </w:r>
    </w:p>
    <w:p w14:paraId="592F54EA" w14:textId="77777777" w:rsidR="00DD3D28" w:rsidRDefault="004A3D5A">
      <w:pPr>
        <w:pStyle w:val="affd"/>
        <w:spacing w:before="156" w:after="156"/>
      </w:pPr>
      <w:bookmarkStart w:id="177" w:name="_Toc183696698"/>
      <w:bookmarkStart w:id="178" w:name="_Toc182987067"/>
      <w:bookmarkStart w:id="179" w:name="_Toc183696697"/>
      <w:bookmarkStart w:id="180" w:name="_Toc182987068"/>
      <w:bookmarkStart w:id="181" w:name="_Toc183696290"/>
      <w:bookmarkStart w:id="182" w:name="_Toc183696291"/>
      <w:bookmarkStart w:id="183" w:name="_Toc183696695"/>
      <w:bookmarkStart w:id="184" w:name="_Toc183696292"/>
      <w:bookmarkStart w:id="185" w:name="_Toc182987065"/>
      <w:bookmarkStart w:id="186" w:name="_Toc183696289"/>
      <w:bookmarkStart w:id="187" w:name="_Toc182987066"/>
      <w:bookmarkStart w:id="188" w:name="_Toc183696696"/>
      <w:bookmarkStart w:id="189" w:name="_Toc183696293"/>
      <w:bookmarkStart w:id="190" w:name="_Toc182987069"/>
      <w:bookmarkStart w:id="191" w:name="_Toc183696699"/>
      <w:bookmarkStart w:id="192" w:name="_Toc183795916"/>
      <w:bookmarkStart w:id="193" w:name="_Toc184124633"/>
      <w:bookmarkEnd w:id="177"/>
      <w:bookmarkEnd w:id="178"/>
      <w:bookmarkEnd w:id="179"/>
      <w:bookmarkEnd w:id="180"/>
      <w:bookmarkEnd w:id="181"/>
      <w:bookmarkEnd w:id="182"/>
      <w:bookmarkEnd w:id="183"/>
      <w:bookmarkEnd w:id="184"/>
      <w:bookmarkEnd w:id="185"/>
      <w:bookmarkEnd w:id="186"/>
      <w:bookmarkEnd w:id="187"/>
      <w:bookmarkEnd w:id="188"/>
      <w:r>
        <w:rPr>
          <w:rFonts w:hint="eastAsia"/>
        </w:rPr>
        <w:t>其他</w:t>
      </w:r>
      <w:bookmarkEnd w:id="189"/>
      <w:bookmarkEnd w:id="190"/>
      <w:bookmarkEnd w:id="191"/>
      <w:r>
        <w:rPr>
          <w:rFonts w:hint="eastAsia"/>
        </w:rPr>
        <w:t>设施设备</w:t>
      </w:r>
      <w:bookmarkEnd w:id="192"/>
      <w:bookmarkEnd w:id="193"/>
    </w:p>
    <w:p w14:paraId="07D9809C" w14:textId="77777777" w:rsidR="00DD3D28" w:rsidRDefault="004A3D5A">
      <w:pPr>
        <w:pStyle w:val="affe"/>
        <w:spacing w:before="156" w:after="156"/>
        <w:rPr>
          <w:rFonts w:ascii="宋体" w:eastAsia="宋体"/>
        </w:rPr>
      </w:pPr>
      <w:bookmarkStart w:id="194" w:name="_Toc183696700"/>
      <w:bookmarkStart w:id="195" w:name="_Toc182987070"/>
      <w:bookmarkStart w:id="196" w:name="_Toc183696294"/>
      <w:bookmarkStart w:id="197" w:name="_Toc183696701"/>
      <w:bookmarkStart w:id="198" w:name="_Toc183795917"/>
      <w:bookmarkStart w:id="199" w:name="_Toc182987071"/>
      <w:bookmarkStart w:id="200" w:name="_Toc183696295"/>
      <w:bookmarkStart w:id="201" w:name="_Toc184124634"/>
      <w:bookmarkEnd w:id="194"/>
      <w:bookmarkEnd w:id="195"/>
      <w:bookmarkEnd w:id="196"/>
      <w:r>
        <w:rPr>
          <w:rFonts w:hint="eastAsia"/>
        </w:rPr>
        <w:t>安防系统</w:t>
      </w:r>
      <w:bookmarkEnd w:id="197"/>
      <w:bookmarkEnd w:id="198"/>
      <w:bookmarkEnd w:id="199"/>
      <w:bookmarkEnd w:id="200"/>
      <w:bookmarkEnd w:id="201"/>
    </w:p>
    <w:p w14:paraId="3E278DDB" w14:textId="77777777" w:rsidR="00DD3D28" w:rsidRDefault="004A3D5A">
      <w:pPr>
        <w:pStyle w:val="af2"/>
      </w:pPr>
      <w:r>
        <w:rPr>
          <w:rFonts w:hint="eastAsia"/>
        </w:rPr>
        <w:t>安防系统一般包含入侵报警、视频监控、门禁、公共广播、无线对讲、电子巡更、防爆设施等设施设备。</w:t>
      </w:r>
    </w:p>
    <w:p w14:paraId="0E79D258" w14:textId="77777777" w:rsidR="00DD3D28" w:rsidRDefault="004A3D5A">
      <w:pPr>
        <w:pStyle w:val="af2"/>
      </w:pPr>
      <w:r>
        <w:rPr>
          <w:rFonts w:hint="eastAsia"/>
        </w:rPr>
        <w:lastRenderedPageBreak/>
        <w:t>应定期检查重要区域内实体防护情况，应定期检查入侵探测装置的防护范围、灵敏度、环境适应性等性能，一般宜半年</w:t>
      </w:r>
      <w:r>
        <w:rPr>
          <w:rFonts w:hint="eastAsia"/>
        </w:rPr>
        <w:t>1</w:t>
      </w:r>
      <w:r>
        <w:rPr>
          <w:rFonts w:hint="eastAsia"/>
        </w:rPr>
        <w:t>次。</w:t>
      </w:r>
    </w:p>
    <w:p w14:paraId="72872DE4" w14:textId="77777777" w:rsidR="00DD3D28" w:rsidRDefault="004A3D5A">
      <w:pPr>
        <w:pStyle w:val="af2"/>
      </w:pPr>
      <w:r>
        <w:rPr>
          <w:rFonts w:hint="eastAsia"/>
        </w:rPr>
        <w:t>应定期对监控设备进行清洁，每年不少于</w:t>
      </w:r>
      <w:r>
        <w:rPr>
          <w:rFonts w:hint="eastAsia"/>
        </w:rPr>
        <w:t>1</w:t>
      </w:r>
      <w:r>
        <w:rPr>
          <w:rFonts w:hint="eastAsia"/>
        </w:rPr>
        <w:t>次，清洁后不得改变监控设备角度和监控范围。</w:t>
      </w:r>
    </w:p>
    <w:p w14:paraId="46F87F4F" w14:textId="77777777" w:rsidR="00DD3D28" w:rsidRDefault="004A3D5A">
      <w:pPr>
        <w:pStyle w:val="af2"/>
      </w:pPr>
      <w:r>
        <w:rPr>
          <w:rFonts w:hint="eastAsia"/>
        </w:rPr>
        <w:t>应定期检查监控存储系统，典藏区图像资料存储时间应</w:t>
      </w:r>
      <w:r>
        <w:rPr>
          <w:rFonts w:hint="eastAsia"/>
        </w:rPr>
        <w:t>不少于</w:t>
      </w:r>
      <w:r>
        <w:rPr>
          <w:rFonts w:hint="eastAsia"/>
        </w:rPr>
        <w:t>6</w:t>
      </w:r>
      <w:r>
        <w:rPr>
          <w:rFonts w:hint="eastAsia"/>
        </w:rPr>
        <w:t>个月，展区图像资料存储时间应不少于</w:t>
      </w:r>
      <w:r>
        <w:rPr>
          <w:rFonts w:hint="eastAsia"/>
        </w:rPr>
        <w:t>3</w:t>
      </w:r>
      <w:r>
        <w:rPr>
          <w:rFonts w:hint="eastAsia"/>
        </w:rPr>
        <w:t>个月，其他区域应不少于</w:t>
      </w:r>
      <w:r>
        <w:rPr>
          <w:rFonts w:hint="eastAsia"/>
        </w:rPr>
        <w:t>1</w:t>
      </w:r>
      <w:r>
        <w:rPr>
          <w:rFonts w:hint="eastAsia"/>
        </w:rPr>
        <w:t>个月。</w:t>
      </w:r>
    </w:p>
    <w:p w14:paraId="4638E0BA" w14:textId="77777777" w:rsidR="00DD3D28" w:rsidRDefault="004A3D5A">
      <w:pPr>
        <w:pStyle w:val="af2"/>
      </w:pPr>
      <w:r>
        <w:rPr>
          <w:rFonts w:hint="eastAsia"/>
        </w:rPr>
        <w:t>应定期检查声音复核系统，保证声音探测的有效性和清晰度，一般宜半年</w:t>
      </w:r>
      <w:r>
        <w:rPr>
          <w:rFonts w:hint="eastAsia"/>
        </w:rPr>
        <w:t>1</w:t>
      </w:r>
      <w:r>
        <w:rPr>
          <w:rFonts w:hint="eastAsia"/>
        </w:rPr>
        <w:t>次。</w:t>
      </w:r>
    </w:p>
    <w:p w14:paraId="0F12100C" w14:textId="77777777" w:rsidR="00DD3D28" w:rsidRDefault="004A3D5A">
      <w:pPr>
        <w:pStyle w:val="af2"/>
      </w:pPr>
      <w:r>
        <w:rPr>
          <w:rFonts w:hint="eastAsia"/>
        </w:rPr>
        <w:t>应定期检查公共广播系统和无线对讲设备的信号流畅性和声音清晰度，一般宜每季度</w:t>
      </w:r>
      <w:r>
        <w:rPr>
          <w:rFonts w:hint="eastAsia"/>
        </w:rPr>
        <w:t>1</w:t>
      </w:r>
      <w:r>
        <w:rPr>
          <w:rFonts w:hint="eastAsia"/>
        </w:rPr>
        <w:t>次。</w:t>
      </w:r>
    </w:p>
    <w:p w14:paraId="42FE52FB" w14:textId="77777777" w:rsidR="00DD3D28" w:rsidRDefault="004A3D5A">
      <w:pPr>
        <w:pStyle w:val="af2"/>
      </w:pPr>
      <w:r>
        <w:rPr>
          <w:rFonts w:hint="eastAsia"/>
        </w:rPr>
        <w:t>应定期检查电子巡更装置巡更点的位置，不得随意变动巡更点位的位置，一般宜每月</w:t>
      </w:r>
      <w:r>
        <w:rPr>
          <w:rFonts w:hint="eastAsia"/>
        </w:rPr>
        <w:t>1</w:t>
      </w:r>
      <w:r>
        <w:rPr>
          <w:rFonts w:hint="eastAsia"/>
        </w:rPr>
        <w:t>次。</w:t>
      </w:r>
    </w:p>
    <w:p w14:paraId="31C250FC" w14:textId="77777777" w:rsidR="00DD3D28" w:rsidRDefault="004A3D5A">
      <w:pPr>
        <w:pStyle w:val="af2"/>
      </w:pPr>
      <w:r>
        <w:rPr>
          <w:rFonts w:hint="eastAsia"/>
        </w:rPr>
        <w:t>防爆设施应摆放整齐，便于拿取使用。</w:t>
      </w:r>
    </w:p>
    <w:p w14:paraId="06A9994F" w14:textId="77777777" w:rsidR="00DD3D28" w:rsidRDefault="004A3D5A">
      <w:pPr>
        <w:pStyle w:val="af2"/>
      </w:pPr>
      <w:r>
        <w:rPr>
          <w:rFonts w:hint="eastAsia"/>
        </w:rPr>
        <w:t>其他要求宜参照</w:t>
      </w:r>
      <w:r>
        <w:t>GB/T 16571</w:t>
      </w:r>
      <w:r>
        <w:rPr>
          <w:rFonts w:hint="eastAsia"/>
        </w:rPr>
        <w:t>相关规定执行。</w:t>
      </w:r>
    </w:p>
    <w:p w14:paraId="336B234C" w14:textId="77777777" w:rsidR="00DD3D28" w:rsidRDefault="004A3D5A">
      <w:pPr>
        <w:pStyle w:val="affe"/>
        <w:spacing w:before="156" w:after="156"/>
      </w:pPr>
      <w:bookmarkStart w:id="202" w:name="_Toc183696702"/>
      <w:bookmarkStart w:id="203" w:name="_Toc183795918"/>
      <w:bookmarkStart w:id="204" w:name="_Toc182987072"/>
      <w:bookmarkStart w:id="205" w:name="_Toc183696296"/>
      <w:bookmarkStart w:id="206" w:name="_Toc184124635"/>
      <w:r>
        <w:rPr>
          <w:rFonts w:hint="eastAsia"/>
        </w:rPr>
        <w:t>气体灭火系统</w:t>
      </w:r>
      <w:bookmarkEnd w:id="202"/>
      <w:bookmarkEnd w:id="203"/>
      <w:bookmarkEnd w:id="204"/>
      <w:bookmarkEnd w:id="205"/>
      <w:bookmarkEnd w:id="206"/>
    </w:p>
    <w:p w14:paraId="3035EBE8" w14:textId="77777777" w:rsidR="00DD3D28" w:rsidRDefault="004A3D5A">
      <w:pPr>
        <w:pStyle w:val="af2"/>
      </w:pPr>
      <w:r>
        <w:rPr>
          <w:rFonts w:hint="eastAsia"/>
        </w:rPr>
        <w:t>气体灭火系统主要包含灭火剂贮存设备、高压气体贮存设备、讯号控制和相关阀门、管网等设施设备。</w:t>
      </w:r>
    </w:p>
    <w:p w14:paraId="1FA80032" w14:textId="77777777" w:rsidR="00DD3D28" w:rsidRDefault="004A3D5A">
      <w:pPr>
        <w:pStyle w:val="af2"/>
      </w:pPr>
      <w:r>
        <w:rPr>
          <w:rFonts w:hint="eastAsia"/>
        </w:rPr>
        <w:t>启动气体</w:t>
      </w:r>
      <w:r>
        <w:rPr>
          <w:rFonts w:hint="eastAsia"/>
        </w:rPr>
        <w:t>灭火系统前，应事先警示周围人员并进行疏散清场，避免人员伤亡。</w:t>
      </w:r>
    </w:p>
    <w:p w14:paraId="0B1C3AA2" w14:textId="77777777" w:rsidR="00DD3D28" w:rsidRDefault="004A3D5A">
      <w:pPr>
        <w:pStyle w:val="af2"/>
      </w:pPr>
      <w:r>
        <w:rPr>
          <w:rFonts w:hint="eastAsia"/>
        </w:rPr>
        <w:t>在气体灭火系统的灭火剂喷放前，防护区内除泄压口外的开口应确保全部关闭。</w:t>
      </w:r>
    </w:p>
    <w:p w14:paraId="550222BB" w14:textId="77777777" w:rsidR="00DD3D28" w:rsidRDefault="004A3D5A">
      <w:pPr>
        <w:pStyle w:val="af2"/>
      </w:pPr>
      <w:r>
        <w:rPr>
          <w:rFonts w:hint="eastAsia"/>
        </w:rPr>
        <w:t>在气体灭火系统的排放过程中，应严禁任何人员进入排放区域现场。</w:t>
      </w:r>
    </w:p>
    <w:p w14:paraId="4DFB3D85" w14:textId="77777777" w:rsidR="00DD3D28" w:rsidRDefault="004A3D5A">
      <w:pPr>
        <w:pStyle w:val="af2"/>
      </w:pPr>
      <w:r>
        <w:rPr>
          <w:rFonts w:hint="eastAsia"/>
        </w:rPr>
        <w:t>气体灭火系统排放后，应穿戴有效防护装备方可进入现场，避免吸入有毒有害气体。</w:t>
      </w:r>
    </w:p>
    <w:p w14:paraId="3A73EC23" w14:textId="77777777" w:rsidR="00DD3D28" w:rsidRDefault="004A3D5A">
      <w:pPr>
        <w:pStyle w:val="af2"/>
      </w:pPr>
      <w:r>
        <w:rPr>
          <w:rFonts w:hint="eastAsia"/>
        </w:rPr>
        <w:t>气体灭火系统的检查和维护应由具有相关专业技能和证书的专业人员进行操作，每月应不少于</w:t>
      </w:r>
      <w:r>
        <w:rPr>
          <w:rFonts w:hint="eastAsia"/>
        </w:rPr>
        <w:t>1</w:t>
      </w:r>
      <w:r>
        <w:rPr>
          <w:rFonts w:hint="eastAsia"/>
        </w:rPr>
        <w:t>次对气体灭火设备进行外观、压力系统、声光报警器、电气系统进行检查。</w:t>
      </w:r>
    </w:p>
    <w:p w14:paraId="0C36C5DF" w14:textId="77777777" w:rsidR="00DD3D28" w:rsidRDefault="004A3D5A">
      <w:pPr>
        <w:pStyle w:val="af2"/>
      </w:pPr>
      <w:r>
        <w:rPr>
          <w:rFonts w:hint="eastAsia"/>
        </w:rPr>
        <w:t>其他要求宜参照</w:t>
      </w:r>
      <w:r>
        <w:t>GB 50370</w:t>
      </w:r>
      <w:r>
        <w:rPr>
          <w:rFonts w:hint="eastAsia"/>
        </w:rPr>
        <w:t>相关规定执行。</w:t>
      </w:r>
    </w:p>
    <w:p w14:paraId="2C51B69B" w14:textId="77777777" w:rsidR="00DD3D28" w:rsidRDefault="004A3D5A">
      <w:pPr>
        <w:pStyle w:val="affe"/>
        <w:spacing w:before="156" w:after="156"/>
      </w:pPr>
      <w:bookmarkStart w:id="207" w:name="_Toc183795919"/>
      <w:bookmarkStart w:id="208" w:name="_Toc183696297"/>
      <w:bookmarkStart w:id="209" w:name="_Toc183696703"/>
      <w:bookmarkStart w:id="210" w:name="_Toc182987073"/>
      <w:bookmarkStart w:id="211" w:name="_Toc184124636"/>
      <w:r>
        <w:rPr>
          <w:rFonts w:hint="eastAsia"/>
        </w:rPr>
        <w:t>空调系统</w:t>
      </w:r>
      <w:bookmarkEnd w:id="207"/>
      <w:bookmarkEnd w:id="208"/>
      <w:bookmarkEnd w:id="209"/>
      <w:bookmarkEnd w:id="210"/>
      <w:bookmarkEnd w:id="211"/>
    </w:p>
    <w:p w14:paraId="55D733CC" w14:textId="77777777" w:rsidR="00DD3D28" w:rsidRDefault="004A3D5A">
      <w:pPr>
        <w:pStyle w:val="af2"/>
      </w:pPr>
      <w:r>
        <w:rPr>
          <w:rFonts w:hint="eastAsia"/>
        </w:rPr>
        <w:t>空调系统一般包含制冷、供暖、通风、净化、控制等设施设备。</w:t>
      </w:r>
    </w:p>
    <w:p w14:paraId="3BEAEAA2" w14:textId="4DB31727" w:rsidR="00DD3D28" w:rsidRDefault="004A3D5A">
      <w:pPr>
        <w:pStyle w:val="af2"/>
      </w:pPr>
      <w:r>
        <w:rPr>
          <w:rFonts w:hint="eastAsia"/>
        </w:rPr>
        <w:t>空调系统宜在开馆前启动运行，提前时间</w:t>
      </w:r>
      <w:r w:rsidR="008435D3">
        <w:rPr>
          <w:rFonts w:hint="eastAsia"/>
        </w:rPr>
        <w:t>宜</w:t>
      </w:r>
      <w:r>
        <w:rPr>
          <w:rFonts w:hint="eastAsia"/>
        </w:rPr>
        <w:t>不少于</w:t>
      </w:r>
      <w:r>
        <w:rPr>
          <w:rFonts w:hint="eastAsia"/>
        </w:rPr>
        <w:t>1</w:t>
      </w:r>
      <w:r>
        <w:rPr>
          <w:rFonts w:hint="eastAsia"/>
        </w:rPr>
        <w:t>小时。</w:t>
      </w:r>
    </w:p>
    <w:p w14:paraId="3E38144E" w14:textId="4BD9F1B0" w:rsidR="00DD3D28" w:rsidRDefault="004A3D5A">
      <w:pPr>
        <w:pStyle w:val="af2"/>
      </w:pPr>
      <w:r>
        <w:rPr>
          <w:rFonts w:hint="eastAsia"/>
        </w:rPr>
        <w:t>空调系统运行时，应每日不少于</w:t>
      </w:r>
      <w:r>
        <w:rPr>
          <w:rFonts w:hint="eastAsia"/>
        </w:rPr>
        <w:t>1</w:t>
      </w:r>
      <w:r>
        <w:rPr>
          <w:rFonts w:hint="eastAsia"/>
        </w:rPr>
        <w:t>次对所有空调机房、冷却塔、水泵等设施设备</w:t>
      </w:r>
      <w:r w:rsidR="00271A96">
        <w:rPr>
          <w:rFonts w:hint="eastAsia"/>
        </w:rPr>
        <w:t>外观和运行状态</w:t>
      </w:r>
      <w:r>
        <w:rPr>
          <w:rFonts w:hint="eastAsia"/>
        </w:rPr>
        <w:t>进行检查和记录。</w:t>
      </w:r>
    </w:p>
    <w:p w14:paraId="086FCACF" w14:textId="77777777" w:rsidR="00DD3D28" w:rsidRDefault="004A3D5A">
      <w:pPr>
        <w:pStyle w:val="af2"/>
      </w:pPr>
      <w:r>
        <w:rPr>
          <w:rFonts w:hint="eastAsia"/>
        </w:rPr>
        <w:t>应每日检查并记录展厅区域及公共区域温湿度变化情况，测温湿度数据时应避开风口，宜选择建筑平面中心点，离地</w:t>
      </w:r>
      <w:r>
        <w:rPr>
          <w:rFonts w:hint="eastAsia"/>
        </w:rPr>
        <w:t>1.5</w:t>
      </w:r>
      <w:r>
        <w:rPr>
          <w:rFonts w:hint="eastAsia"/>
        </w:rPr>
        <w:t>米至</w:t>
      </w:r>
      <w:r>
        <w:rPr>
          <w:rFonts w:hint="eastAsia"/>
        </w:rPr>
        <w:t>2</w:t>
      </w:r>
      <w:r>
        <w:rPr>
          <w:rFonts w:hint="eastAsia"/>
        </w:rPr>
        <w:t>米之间进行检测。</w:t>
      </w:r>
    </w:p>
    <w:p w14:paraId="43C40BD7" w14:textId="77777777" w:rsidR="00DD3D28" w:rsidRDefault="004A3D5A">
      <w:pPr>
        <w:pStyle w:val="af2"/>
      </w:pPr>
      <w:r>
        <w:rPr>
          <w:rFonts w:hint="eastAsia"/>
        </w:rPr>
        <w:t>空调机房区域应保持整洁，对通风滤网部分每月宜进行不少于</w:t>
      </w:r>
      <w:r>
        <w:rPr>
          <w:rFonts w:hint="eastAsia"/>
        </w:rPr>
        <w:t>1</w:t>
      </w:r>
      <w:r>
        <w:rPr>
          <w:rFonts w:hint="eastAsia"/>
        </w:rPr>
        <w:t>次清洗消毒或进行更换。对管道部分每年宜进行不少于</w:t>
      </w:r>
      <w:r>
        <w:rPr>
          <w:rFonts w:hint="eastAsia"/>
        </w:rPr>
        <w:t>1</w:t>
      </w:r>
      <w:r>
        <w:rPr>
          <w:rFonts w:hint="eastAsia"/>
        </w:rPr>
        <w:t>次清洗消毒。</w:t>
      </w:r>
    </w:p>
    <w:p w14:paraId="53070A20" w14:textId="77777777" w:rsidR="00DD3D28" w:rsidRDefault="004A3D5A">
      <w:pPr>
        <w:pStyle w:val="af2"/>
      </w:pPr>
      <w:r>
        <w:rPr>
          <w:rFonts w:hint="eastAsia"/>
        </w:rPr>
        <w:t>其他要求宜参照</w:t>
      </w:r>
      <w:r>
        <w:rPr>
          <w:rFonts w:hint="eastAsia"/>
        </w:rPr>
        <w:t>GB 50365</w:t>
      </w:r>
      <w:r>
        <w:rPr>
          <w:rFonts w:hint="eastAsia"/>
        </w:rPr>
        <w:t>相关规定执行。</w:t>
      </w:r>
    </w:p>
    <w:p w14:paraId="501C515B" w14:textId="77777777" w:rsidR="00DD3D28" w:rsidRDefault="004A3D5A">
      <w:pPr>
        <w:pStyle w:val="affe"/>
        <w:spacing w:before="156" w:after="156"/>
      </w:pPr>
      <w:bookmarkStart w:id="212" w:name="_Toc183795920"/>
      <w:bookmarkStart w:id="213" w:name="_Toc183696704"/>
      <w:bookmarkStart w:id="214" w:name="_Toc184124637"/>
      <w:r>
        <w:rPr>
          <w:rFonts w:hint="eastAsia"/>
        </w:rPr>
        <w:t>网络系统</w:t>
      </w:r>
      <w:bookmarkStart w:id="215" w:name="_Toc183696710"/>
      <w:bookmarkStart w:id="216" w:name="_Toc183696705"/>
      <w:bookmarkStart w:id="217" w:name="_Toc183696709"/>
      <w:bookmarkStart w:id="218" w:name="_Toc183696707"/>
      <w:bookmarkStart w:id="219" w:name="_Toc183696706"/>
      <w:bookmarkStart w:id="220" w:name="_Toc183696708"/>
      <w:bookmarkStart w:id="221" w:name="_Toc183696711"/>
      <w:bookmarkEnd w:id="212"/>
      <w:bookmarkEnd w:id="213"/>
      <w:bookmarkEnd w:id="214"/>
      <w:bookmarkEnd w:id="215"/>
      <w:bookmarkEnd w:id="216"/>
      <w:bookmarkEnd w:id="217"/>
      <w:bookmarkEnd w:id="218"/>
      <w:bookmarkEnd w:id="219"/>
      <w:bookmarkEnd w:id="220"/>
      <w:bookmarkEnd w:id="221"/>
    </w:p>
    <w:p w14:paraId="6969E0D4" w14:textId="77777777" w:rsidR="00DD3D28" w:rsidRDefault="004A3D5A">
      <w:pPr>
        <w:pStyle w:val="af2"/>
      </w:pPr>
      <w:r>
        <w:rPr>
          <w:rFonts w:hint="eastAsia"/>
        </w:rPr>
        <w:t>网络系统一般包含数字通讯设备、网络安全设备等。</w:t>
      </w:r>
    </w:p>
    <w:p w14:paraId="1DE31DE1" w14:textId="77777777" w:rsidR="00DD3D28" w:rsidRDefault="004A3D5A">
      <w:pPr>
        <w:pStyle w:val="af2"/>
      </w:pPr>
      <w:r>
        <w:rPr>
          <w:rFonts w:hint="eastAsia"/>
        </w:rPr>
        <w:t>网络系统中各硬件设备应按要求定期进行检查和维护，一般宜每季度</w:t>
      </w:r>
      <w:r>
        <w:rPr>
          <w:rFonts w:hint="eastAsia"/>
        </w:rPr>
        <w:t>1</w:t>
      </w:r>
      <w:r>
        <w:rPr>
          <w:rFonts w:hint="eastAsia"/>
        </w:rPr>
        <w:t>次。</w:t>
      </w:r>
    </w:p>
    <w:p w14:paraId="2CFDF3B1" w14:textId="77777777" w:rsidR="00DD3D28" w:rsidRDefault="004A3D5A">
      <w:pPr>
        <w:pStyle w:val="af2"/>
      </w:pPr>
      <w:r>
        <w:rPr>
          <w:rFonts w:hint="eastAsia"/>
        </w:rPr>
        <w:t>网络安全设备及软件应定期检查有效性，并及时升级，确保不受外部网络干扰和侵入。</w:t>
      </w:r>
    </w:p>
    <w:p w14:paraId="257A948F" w14:textId="77777777" w:rsidR="00DD3D28" w:rsidRDefault="004A3D5A">
      <w:pPr>
        <w:pStyle w:val="af2"/>
      </w:pPr>
      <w:r>
        <w:rPr>
          <w:rFonts w:hint="eastAsia"/>
        </w:rPr>
        <w:t>网络密钥管理应参照</w:t>
      </w:r>
      <w:r>
        <w:rPr>
          <w:rFonts w:hint="eastAsia"/>
        </w:rPr>
        <w:t>2023</w:t>
      </w:r>
      <w:r>
        <w:rPr>
          <w:rFonts w:hint="eastAsia"/>
        </w:rPr>
        <w:t>年国家密码管理局第</w:t>
      </w:r>
      <w:r>
        <w:rPr>
          <w:rFonts w:hint="eastAsia"/>
        </w:rPr>
        <w:t>3</w:t>
      </w:r>
      <w:r>
        <w:rPr>
          <w:rFonts w:hint="eastAsia"/>
        </w:rPr>
        <w:t>号令要求执行。</w:t>
      </w:r>
    </w:p>
    <w:p w14:paraId="6AA201D2" w14:textId="77777777" w:rsidR="00DD3D28" w:rsidRDefault="004A3D5A">
      <w:pPr>
        <w:pStyle w:val="affe"/>
        <w:spacing w:before="156" w:after="156"/>
      </w:pPr>
      <w:bookmarkStart w:id="222" w:name="_Toc182987074"/>
      <w:bookmarkStart w:id="223" w:name="_Toc183696298"/>
      <w:bookmarkStart w:id="224" w:name="_Toc183795921"/>
      <w:bookmarkStart w:id="225" w:name="_Toc183696712"/>
      <w:bookmarkStart w:id="226" w:name="_Toc184124638"/>
      <w:r>
        <w:rPr>
          <w:rFonts w:hint="eastAsia"/>
        </w:rPr>
        <w:t>公共服务设施</w:t>
      </w:r>
      <w:bookmarkEnd w:id="222"/>
      <w:bookmarkEnd w:id="223"/>
      <w:bookmarkEnd w:id="224"/>
      <w:bookmarkEnd w:id="225"/>
      <w:bookmarkEnd w:id="226"/>
    </w:p>
    <w:p w14:paraId="642CC741" w14:textId="77777777" w:rsidR="00DD3D28" w:rsidRDefault="004A3D5A">
      <w:pPr>
        <w:pStyle w:val="af2"/>
      </w:pPr>
      <w:r>
        <w:rPr>
          <w:rFonts w:hint="eastAsia"/>
        </w:rPr>
        <w:t>公共服务设施一般包含寄存设施、饮水设施、休息设施、讲解设施、无障碍设施等。</w:t>
      </w:r>
    </w:p>
    <w:p w14:paraId="24E4ED05" w14:textId="77777777" w:rsidR="00DD3D28" w:rsidRDefault="004A3D5A">
      <w:pPr>
        <w:pStyle w:val="af2"/>
      </w:pPr>
      <w:r>
        <w:rPr>
          <w:rFonts w:hint="eastAsia"/>
        </w:rPr>
        <w:t>公共区域服务设施应定期进行安全检查和功能维护，一般宜每季度施行</w:t>
      </w:r>
      <w:r>
        <w:rPr>
          <w:rFonts w:hint="eastAsia"/>
        </w:rPr>
        <w:t>1</w:t>
      </w:r>
      <w:r>
        <w:rPr>
          <w:rFonts w:hint="eastAsia"/>
        </w:rPr>
        <w:t>次，并按要求及时更换耗材，建立耗材出、</w:t>
      </w:r>
      <w:proofErr w:type="gramStart"/>
      <w:r>
        <w:rPr>
          <w:rFonts w:hint="eastAsia"/>
        </w:rPr>
        <w:t>入库台</w:t>
      </w:r>
      <w:proofErr w:type="gramEnd"/>
      <w:r>
        <w:rPr>
          <w:rFonts w:hint="eastAsia"/>
        </w:rPr>
        <w:t>账。</w:t>
      </w:r>
    </w:p>
    <w:p w14:paraId="7D659B93" w14:textId="77777777" w:rsidR="00DD3D28" w:rsidRDefault="004A3D5A">
      <w:pPr>
        <w:pStyle w:val="af2"/>
      </w:pPr>
      <w:r>
        <w:rPr>
          <w:rFonts w:hint="eastAsia"/>
        </w:rPr>
        <w:lastRenderedPageBreak/>
        <w:t>用于租赁的服务设施设备，应做好租赁记录，对</w:t>
      </w:r>
      <w:r>
        <w:rPr>
          <w:rFonts w:hint="eastAsia"/>
        </w:rPr>
        <w:t>损坏件应及时维修或更换。</w:t>
      </w:r>
    </w:p>
    <w:p w14:paraId="3E0E5089" w14:textId="77777777" w:rsidR="00DD3D28" w:rsidRDefault="004A3D5A">
      <w:pPr>
        <w:pStyle w:val="af2"/>
      </w:pPr>
      <w:r>
        <w:rPr>
          <w:rFonts w:hint="eastAsia"/>
        </w:rPr>
        <w:t>寄存用设施设备应确保正常使用，每日闭馆前应检查是否有遗留寄存物品，及时联系寄存人，并做好遗留记录，统一收纳管理。</w:t>
      </w:r>
    </w:p>
    <w:p w14:paraId="4634749B" w14:textId="77777777" w:rsidR="00DD3D28" w:rsidRDefault="004A3D5A">
      <w:pPr>
        <w:pStyle w:val="affc"/>
        <w:spacing w:before="312" w:after="312"/>
      </w:pPr>
      <w:bookmarkStart w:id="227" w:name="_Toc183696299"/>
      <w:bookmarkStart w:id="228" w:name="_Toc183696713"/>
      <w:bookmarkStart w:id="229" w:name="_Toc182987075"/>
      <w:bookmarkStart w:id="230" w:name="_Toc183795922"/>
      <w:bookmarkStart w:id="231" w:name="_Toc184124639"/>
      <w:r>
        <w:rPr>
          <w:rFonts w:hint="eastAsia"/>
        </w:rPr>
        <w:t>应急管理措施</w:t>
      </w:r>
      <w:bookmarkEnd w:id="227"/>
      <w:bookmarkEnd w:id="228"/>
      <w:bookmarkEnd w:id="229"/>
      <w:bookmarkEnd w:id="230"/>
      <w:bookmarkEnd w:id="231"/>
    </w:p>
    <w:p w14:paraId="656A3A2B" w14:textId="07064957" w:rsidR="00DD3D28" w:rsidRDefault="004A3D5A">
      <w:pPr>
        <w:pStyle w:val="af2"/>
      </w:pPr>
      <w:r>
        <w:rPr>
          <w:rFonts w:hint="eastAsia"/>
        </w:rPr>
        <w:t>应制</w:t>
      </w:r>
      <w:proofErr w:type="gramStart"/>
      <w:r>
        <w:rPr>
          <w:rFonts w:hint="eastAsia"/>
        </w:rPr>
        <w:t>定</w:t>
      </w:r>
      <w:r w:rsidR="001020EC">
        <w:rPr>
          <w:rFonts w:hint="eastAsia"/>
        </w:rPr>
        <w:t>重要</w:t>
      </w:r>
      <w:proofErr w:type="gramEnd"/>
      <w:r w:rsidR="001020EC">
        <w:rPr>
          <w:rFonts w:hint="eastAsia"/>
        </w:rPr>
        <w:t>设施设备</w:t>
      </w:r>
      <w:r>
        <w:rPr>
          <w:rFonts w:hint="eastAsia"/>
        </w:rPr>
        <w:t>的应急保障方案，以应对突发状况。</w:t>
      </w:r>
    </w:p>
    <w:p w14:paraId="2575DBC2" w14:textId="77777777" w:rsidR="00DD3D28" w:rsidRDefault="004A3D5A">
      <w:pPr>
        <w:pStyle w:val="af2"/>
      </w:pPr>
      <w:r>
        <w:rPr>
          <w:rFonts w:hint="eastAsia"/>
        </w:rPr>
        <w:t>重要设施设备的易损易耗件及采购困难的部件，宜有充足的备品备件，进行分类标识存放，并建立出、</w:t>
      </w:r>
      <w:proofErr w:type="gramStart"/>
      <w:r>
        <w:rPr>
          <w:rFonts w:hint="eastAsia"/>
        </w:rPr>
        <w:t>入库台</w:t>
      </w:r>
      <w:proofErr w:type="gramEnd"/>
      <w:r>
        <w:rPr>
          <w:rFonts w:hint="eastAsia"/>
        </w:rPr>
        <w:t>账。</w:t>
      </w:r>
    </w:p>
    <w:p w14:paraId="357C79D1" w14:textId="77777777" w:rsidR="00DD3D28" w:rsidRDefault="004A3D5A">
      <w:pPr>
        <w:pStyle w:val="af2"/>
      </w:pPr>
      <w:r>
        <w:rPr>
          <w:rFonts w:hint="eastAsia"/>
        </w:rPr>
        <w:t>应组建重要设施设备应急保障小组，保障小组宜由重要设施设备专门管理机构牵头，各相关部门参与。</w:t>
      </w:r>
    </w:p>
    <w:p w14:paraId="035A26B0" w14:textId="77777777" w:rsidR="00DD3D28" w:rsidRDefault="004A3D5A">
      <w:pPr>
        <w:pStyle w:val="af2"/>
      </w:pPr>
      <w:r>
        <w:rPr>
          <w:rFonts w:hint="eastAsia"/>
        </w:rPr>
        <w:t>应急保障小组宜每年进行不少于</w:t>
      </w:r>
      <w:r>
        <w:rPr>
          <w:rFonts w:hint="eastAsia"/>
        </w:rPr>
        <w:t>2</w:t>
      </w:r>
      <w:r>
        <w:rPr>
          <w:rFonts w:hint="eastAsia"/>
        </w:rPr>
        <w:t>次的演练，每次演练设施设备类别宜不少于</w:t>
      </w:r>
      <w:r>
        <w:rPr>
          <w:rFonts w:hint="eastAsia"/>
        </w:rPr>
        <w:t>2</w:t>
      </w:r>
      <w:r>
        <w:rPr>
          <w:rFonts w:hint="eastAsia"/>
        </w:rPr>
        <w:t>类，演练资料宜保存不少于</w:t>
      </w:r>
      <w:r>
        <w:rPr>
          <w:rFonts w:hint="eastAsia"/>
        </w:rPr>
        <w:t>5</w:t>
      </w:r>
      <w:r>
        <w:rPr>
          <w:rFonts w:hint="eastAsia"/>
        </w:rPr>
        <w:t>年。</w:t>
      </w:r>
    </w:p>
    <w:p w14:paraId="348AE6A9" w14:textId="77777777" w:rsidR="00DD3D28" w:rsidRDefault="004A3D5A" w:rsidP="001020EC">
      <w:pPr>
        <w:pStyle w:val="af2"/>
      </w:pPr>
      <w:r>
        <w:rPr>
          <w:rFonts w:hint="eastAsia"/>
        </w:rPr>
        <w:t>各美术馆宜结合自身实际情况，编制符合需求的应急管理流程图，可参考下图（图</w:t>
      </w:r>
      <w:r>
        <w:rPr>
          <w:rFonts w:hint="eastAsia"/>
        </w:rPr>
        <w:t>1</w:t>
      </w:r>
      <w:r>
        <w:rPr>
          <w:rFonts w:hint="eastAsia"/>
        </w:rPr>
        <w:t>）。</w:t>
      </w:r>
    </w:p>
    <w:p w14:paraId="696458E6" w14:textId="77777777" w:rsidR="001020EC" w:rsidRDefault="001020EC">
      <w:pPr>
        <w:pStyle w:val="af2"/>
        <w:numPr>
          <w:ilvl w:val="2"/>
          <w:numId w:val="0"/>
        </w:numPr>
        <w:jc w:val="center"/>
      </w:pPr>
    </w:p>
    <w:p w14:paraId="4FBFA820" w14:textId="146ED94E" w:rsidR="00DD3D28" w:rsidRDefault="008E75BE">
      <w:pPr>
        <w:pStyle w:val="af2"/>
        <w:numPr>
          <w:ilvl w:val="2"/>
          <w:numId w:val="0"/>
        </w:numPr>
        <w:jc w:val="center"/>
      </w:pPr>
      <w:r>
        <w:rPr>
          <w:rFonts w:hint="eastAsia"/>
        </w:rPr>
        <w:object w:dxaOrig="6225" w:dyaOrig="8430" w14:anchorId="1AB16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2pt;height:389.6pt" o:ole="">
            <v:imagedata r:id="rId18" o:title=""/>
            <o:lock v:ext="edit" aspectratio="f"/>
          </v:shape>
          <o:OLEObject Type="Embed" ProgID="Visio.Drawing.15" ShapeID="_x0000_i1025" DrawAspect="Content" ObjectID="_1795239934" r:id="rId19"/>
        </w:object>
      </w:r>
    </w:p>
    <w:p w14:paraId="063A60DE" w14:textId="77777777" w:rsidR="00DD3D28" w:rsidRDefault="004A3D5A">
      <w:pPr>
        <w:pStyle w:val="afd"/>
        <w:spacing w:before="156" w:after="156"/>
      </w:pPr>
      <w:r>
        <w:rPr>
          <w:rFonts w:hint="eastAsia"/>
        </w:rPr>
        <w:t>重要设备设施应急管理流程图</w:t>
      </w:r>
    </w:p>
    <w:p w14:paraId="63C10CA3" w14:textId="77777777" w:rsidR="001020EC" w:rsidRDefault="001020EC">
      <w:pPr>
        <w:pStyle w:val="afffffffff3"/>
        <w:numPr>
          <w:ilvl w:val="0"/>
          <w:numId w:val="0"/>
        </w:numPr>
        <w:jc w:val="center"/>
      </w:pPr>
    </w:p>
    <w:p w14:paraId="4993085C" w14:textId="77777777" w:rsidR="00DD3D28" w:rsidRDefault="004A3D5A">
      <w:pPr>
        <w:pStyle w:val="afffffa"/>
        <w:ind w:firstLine="480"/>
        <w:jc w:val="center"/>
        <w:rPr>
          <w:sz w:val="24"/>
          <w:szCs w:val="22"/>
        </w:rPr>
      </w:pPr>
      <w:r>
        <w:rPr>
          <w:rFonts w:hint="eastAsia"/>
          <w:sz w:val="24"/>
          <w:szCs w:val="22"/>
        </w:rPr>
        <w:lastRenderedPageBreak/>
        <w:t>参</w:t>
      </w:r>
      <w:r>
        <w:rPr>
          <w:rFonts w:hint="eastAsia"/>
          <w:sz w:val="24"/>
          <w:szCs w:val="22"/>
        </w:rPr>
        <w:t xml:space="preserve"> </w:t>
      </w:r>
      <w:r>
        <w:rPr>
          <w:rFonts w:hint="eastAsia"/>
          <w:sz w:val="24"/>
          <w:szCs w:val="22"/>
        </w:rPr>
        <w:t>考</w:t>
      </w:r>
      <w:r>
        <w:rPr>
          <w:rFonts w:hint="eastAsia"/>
          <w:sz w:val="24"/>
          <w:szCs w:val="22"/>
        </w:rPr>
        <w:t xml:space="preserve"> </w:t>
      </w:r>
      <w:r>
        <w:rPr>
          <w:rFonts w:hint="eastAsia"/>
          <w:sz w:val="24"/>
          <w:szCs w:val="22"/>
        </w:rPr>
        <w:t>文</w:t>
      </w:r>
      <w:r>
        <w:rPr>
          <w:rFonts w:hint="eastAsia"/>
          <w:sz w:val="24"/>
          <w:szCs w:val="22"/>
        </w:rPr>
        <w:t xml:space="preserve"> </w:t>
      </w:r>
      <w:r>
        <w:rPr>
          <w:rFonts w:hint="eastAsia"/>
          <w:sz w:val="24"/>
          <w:szCs w:val="22"/>
        </w:rPr>
        <w:t>献</w:t>
      </w:r>
    </w:p>
    <w:p w14:paraId="28B497A1" w14:textId="77777777" w:rsidR="00DD3D28" w:rsidRDefault="00DD3D28">
      <w:pPr>
        <w:pStyle w:val="afffffa"/>
        <w:ind w:firstLine="420"/>
      </w:pPr>
    </w:p>
    <w:p w14:paraId="3329B123" w14:textId="77777777" w:rsidR="00DD3D28" w:rsidRDefault="004A3D5A">
      <w:pPr>
        <w:pStyle w:val="afffffa"/>
        <w:ind w:firstLine="420"/>
      </w:pPr>
      <w:bookmarkStart w:id="232" w:name="_Hlk183698381"/>
      <w:r>
        <w:t>［</w:t>
      </w:r>
      <w:r>
        <w:t>1</w:t>
      </w:r>
      <w:r>
        <w:t>］</w:t>
      </w:r>
      <w:r>
        <w:t xml:space="preserve">GB 50352  </w:t>
      </w:r>
      <w:r>
        <w:rPr>
          <w:rFonts w:hint="eastAsia"/>
        </w:rPr>
        <w:t>民用建筑设计统一标准</w:t>
      </w:r>
    </w:p>
    <w:p w14:paraId="617D67A6" w14:textId="77777777" w:rsidR="00DD3D28" w:rsidRDefault="004A3D5A">
      <w:pPr>
        <w:pStyle w:val="afffffa"/>
        <w:ind w:firstLine="420"/>
      </w:pPr>
      <w:r>
        <w:t>［</w:t>
      </w:r>
      <w:r>
        <w:rPr>
          <w:rFonts w:hint="eastAsia"/>
        </w:rPr>
        <w:t>2</w:t>
      </w:r>
      <w:r>
        <w:t>］</w:t>
      </w:r>
      <w:r>
        <w:t xml:space="preserve">JGJ/T 461  </w:t>
      </w:r>
      <w:r>
        <w:rPr>
          <w:rFonts w:hint="eastAsia"/>
        </w:rPr>
        <w:t>公共建筑室内空气质量控制设计标准</w:t>
      </w:r>
    </w:p>
    <w:p w14:paraId="22FE46A4" w14:textId="77777777" w:rsidR="00DD3D28" w:rsidRDefault="004A3D5A">
      <w:pPr>
        <w:pStyle w:val="afffffa"/>
        <w:ind w:firstLine="420"/>
      </w:pPr>
      <w:r>
        <w:t>［</w:t>
      </w:r>
      <w:r>
        <w:rPr>
          <w:rFonts w:hint="eastAsia"/>
        </w:rPr>
        <w:t>3</w:t>
      </w:r>
      <w:r>
        <w:t>］</w:t>
      </w:r>
      <w:r>
        <w:rPr>
          <w:rFonts w:hint="eastAsia"/>
        </w:rPr>
        <w:t xml:space="preserve">WH/T 98-2022 </w:t>
      </w:r>
      <w:r>
        <w:rPr>
          <w:rFonts w:hint="eastAsia"/>
        </w:rPr>
        <w:t>公共美术馆服务规范</w:t>
      </w:r>
    </w:p>
    <w:p w14:paraId="0FE8B44F" w14:textId="77777777" w:rsidR="00DD3D28" w:rsidRDefault="004A3D5A">
      <w:pPr>
        <w:pStyle w:val="afffffa"/>
        <w:ind w:firstLine="420"/>
      </w:pPr>
      <w:r>
        <w:t>［</w:t>
      </w:r>
      <w:r>
        <w:rPr>
          <w:rFonts w:hint="eastAsia"/>
        </w:rPr>
        <w:t>4</w:t>
      </w:r>
      <w:r>
        <w:t>］</w:t>
      </w:r>
      <w:r>
        <w:t xml:space="preserve">GA 27  </w:t>
      </w:r>
      <w:r>
        <w:rPr>
          <w:rFonts w:hint="eastAsia"/>
        </w:rPr>
        <w:t>文物系统博物馆风险等级和安全防护级别的规定</w:t>
      </w:r>
    </w:p>
    <w:p w14:paraId="6D59ED0C" w14:textId="77777777" w:rsidR="00DD3D28" w:rsidRDefault="004A3D5A">
      <w:pPr>
        <w:pStyle w:val="afffffa"/>
        <w:ind w:firstLine="420"/>
      </w:pPr>
      <w:r>
        <w:t>［</w:t>
      </w:r>
      <w:r>
        <w:rPr>
          <w:rFonts w:hint="eastAsia"/>
        </w:rPr>
        <w:t>5</w:t>
      </w:r>
      <w:r>
        <w:t>］</w:t>
      </w:r>
      <w:r>
        <w:t xml:space="preserve">DB 32/T989  </w:t>
      </w:r>
      <w:r>
        <w:rPr>
          <w:rFonts w:hint="eastAsia"/>
        </w:rPr>
        <w:t>低压电气装置规程</w:t>
      </w:r>
    </w:p>
    <w:p w14:paraId="2DE7E7F6" w14:textId="77777777" w:rsidR="00DD3D28" w:rsidRDefault="004A3D5A">
      <w:pPr>
        <w:pStyle w:val="afffffa"/>
        <w:ind w:firstLine="420"/>
      </w:pPr>
      <w:r>
        <w:t>［</w:t>
      </w:r>
      <w:r>
        <w:rPr>
          <w:rFonts w:hint="eastAsia"/>
        </w:rPr>
        <w:t>6</w:t>
      </w:r>
      <w:r>
        <w:t>］</w:t>
      </w:r>
      <w:r>
        <w:rPr>
          <w:rFonts w:hint="eastAsia"/>
        </w:rPr>
        <w:t>建标</w:t>
      </w:r>
      <w:r>
        <w:t xml:space="preserve">193-2018  </w:t>
      </w:r>
      <w:r>
        <w:rPr>
          <w:rFonts w:hint="eastAsia"/>
        </w:rPr>
        <w:t>公共美术馆建设标准</w:t>
      </w:r>
    </w:p>
    <w:p w14:paraId="34BA92EC" w14:textId="77777777" w:rsidR="00DD3D28" w:rsidRDefault="004A3D5A">
      <w:pPr>
        <w:pStyle w:val="afffffa"/>
        <w:ind w:firstLine="420"/>
      </w:pPr>
      <w:r>
        <w:t>［</w:t>
      </w:r>
      <w:r>
        <w:rPr>
          <w:rFonts w:hint="eastAsia"/>
        </w:rPr>
        <w:t>7</w:t>
      </w:r>
      <w:r>
        <w:t>］</w:t>
      </w:r>
      <w:r>
        <w:rPr>
          <w:rFonts w:hint="eastAsia"/>
        </w:rPr>
        <w:t>2023</w:t>
      </w:r>
      <w:r>
        <w:rPr>
          <w:rFonts w:hint="eastAsia"/>
        </w:rPr>
        <w:t>年国家密码管理局第</w:t>
      </w:r>
      <w:r>
        <w:rPr>
          <w:rFonts w:hint="eastAsia"/>
        </w:rPr>
        <w:t>3</w:t>
      </w:r>
      <w:r>
        <w:rPr>
          <w:rFonts w:hint="eastAsia"/>
        </w:rPr>
        <w:t>号令</w:t>
      </w:r>
      <w:r>
        <w:rPr>
          <w:rFonts w:hint="eastAsia"/>
        </w:rPr>
        <w:t xml:space="preserve"> </w:t>
      </w:r>
      <w:r>
        <w:rPr>
          <w:rFonts w:hint="eastAsia"/>
        </w:rPr>
        <w:t>商用密码应用安全性评估管理办法</w:t>
      </w:r>
    </w:p>
    <w:bookmarkEnd w:id="232"/>
    <w:p w14:paraId="5A44A7B7" w14:textId="02677448" w:rsidR="00EE2EBD" w:rsidRPr="00EE2EBD" w:rsidRDefault="004A3D5A" w:rsidP="00EE2EBD">
      <w:pPr>
        <w:pStyle w:val="afffffa"/>
        <w:ind w:firstLine="420"/>
      </w:pPr>
      <w:r w:rsidRPr="00EE2EBD">
        <w:rPr>
          <w:rFonts w:hint="eastAsia"/>
        </w:rPr>
        <w:t xml:space="preserve"> </w:t>
      </w:r>
      <w:r w:rsidR="00EE2EBD">
        <w:rPr>
          <w:rFonts w:hint="eastAsia"/>
        </w:rPr>
        <w:t xml:space="preserve">                               </w:t>
      </w:r>
      <w:bookmarkStart w:id="233" w:name="BookMark8"/>
      <w:bookmarkEnd w:id="28"/>
      <w:r w:rsidR="00EE2EBD">
        <w:rPr>
          <w:rFonts w:hint="eastAsia"/>
          <w:noProof/>
        </w:rPr>
        <w:drawing>
          <wp:inline distT="0" distB="0" distL="0" distR="0" wp14:anchorId="1F1A2ED2" wp14:editId="4ED05818">
            <wp:extent cx="1485900" cy="317500"/>
            <wp:effectExtent l="0" t="0" r="0" b="6350"/>
            <wp:docPr id="965026913" name="图片 9"/>
            <wp:cNvGraphicFramePr/>
            <a:graphic xmlns:a="http://schemas.openxmlformats.org/drawingml/2006/main">
              <a:graphicData uri="http://schemas.openxmlformats.org/drawingml/2006/picture">
                <pic:pic xmlns:pic="http://schemas.openxmlformats.org/drawingml/2006/picture">
                  <pic:nvPicPr>
                    <pic:cNvPr id="965026913"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33"/>
    </w:p>
    <w:sectPr w:rsidR="00EE2EBD" w:rsidRPr="00EE2EBD">
      <w:pgSz w:w="11906" w:h="16838"/>
      <w:pgMar w:top="1928" w:right="1134" w:bottom="1134" w:left="1134" w:header="1418" w:footer="1134" w:gutter="284"/>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DF88B" w14:textId="77777777" w:rsidR="004A3D5A" w:rsidRDefault="004A3D5A">
      <w:pPr>
        <w:spacing w:line="240" w:lineRule="auto"/>
      </w:pPr>
      <w:r>
        <w:separator/>
      </w:r>
    </w:p>
  </w:endnote>
  <w:endnote w:type="continuationSeparator" w:id="0">
    <w:p w14:paraId="1F9C7CB6" w14:textId="77777777" w:rsidR="004A3D5A" w:rsidRDefault="004A3D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B5B8D" w14:textId="77777777" w:rsidR="00DD3D28" w:rsidRDefault="004A3D5A">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BE129" w14:textId="77777777" w:rsidR="001020EC" w:rsidRDefault="001020EC">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1532A" w14:textId="77777777" w:rsidR="00DD3D28" w:rsidRDefault="00DD3D28">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11807" w14:textId="50A23F41" w:rsidR="00DD3D28" w:rsidRDefault="004A3D5A">
    <w:pPr>
      <w:pStyle w:val="afffff7"/>
    </w:pPr>
    <w:r>
      <w:fldChar w:fldCharType="begin"/>
    </w:r>
    <w:r>
      <w:instrText>PAGE   \* MERGEFORMAT</w:instrText>
    </w:r>
    <w:r>
      <w:fldChar w:fldCharType="separate"/>
    </w:r>
    <w:r w:rsidR="00AA7EB1" w:rsidRPr="00AA7EB1">
      <w:rPr>
        <w:noProof/>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1F675" w14:textId="77777777" w:rsidR="004A3D5A" w:rsidRDefault="004A3D5A">
      <w:pPr>
        <w:spacing w:line="240" w:lineRule="auto"/>
      </w:pPr>
      <w:r>
        <w:separator/>
      </w:r>
    </w:p>
  </w:footnote>
  <w:footnote w:type="continuationSeparator" w:id="0">
    <w:p w14:paraId="05D231AA" w14:textId="77777777" w:rsidR="004A3D5A" w:rsidRDefault="004A3D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ACFF0" w14:textId="77777777" w:rsidR="001020EC" w:rsidRDefault="001020EC">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B88E2" w14:textId="77777777" w:rsidR="00DD3D28" w:rsidRDefault="004A3D5A">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A8056" w14:textId="77777777" w:rsidR="00DD3D28" w:rsidRDefault="00DD3D28">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12BED" w14:textId="77777777" w:rsidR="00DD3D28" w:rsidRDefault="004A3D5A">
    <w:pPr>
      <w:pStyle w:val="affff2"/>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DF794" w14:textId="7E045AB9" w:rsidR="00DD3D28" w:rsidRDefault="004A3D5A">
    <w:pPr>
      <w:pStyle w:val="affffff"/>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A7EB1">
      <w:rPr>
        <w:noProof/>
      </w:rPr>
      <w:t>DB 32/T XXXX</w:t>
    </w:r>
    <w:r w:rsidR="00AA7EB1">
      <w:rPr>
        <w:noProof/>
      </w:rPr>
      <w:t>—</w:t>
    </w:r>
    <w:r w:rsidR="00AA7EB1">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1136"/>
        </w:tabs>
        <w:ind w:left="1136" w:hanging="426"/>
      </w:pPr>
      <w:rPr>
        <w:rFonts w:ascii="宋体" w:eastAsia="宋体" w:hAnsi="Times New Roman" w:hint="eastAsia"/>
        <w:b w:val="0"/>
        <w:i w:val="0"/>
        <w:sz w:val="21"/>
        <w:lang w:val="en-US"/>
      </w:rPr>
    </w:lvl>
    <w:lvl w:ilvl="1">
      <w:start w:val="1"/>
      <w:numFmt w:val="none"/>
      <w:pStyle w:val="2"/>
      <w:lvlText w:val=""/>
      <w:lvlJc w:val="left"/>
      <w:pPr>
        <w:ind w:left="1418" w:hanging="431"/>
      </w:pPr>
      <w:rPr>
        <w:rFonts w:ascii="Symbol" w:hAnsi="Symbol" w:hint="default"/>
        <w:sz w:val="21"/>
      </w:rPr>
    </w:lvl>
    <w:lvl w:ilvl="2">
      <w:start w:val="1"/>
      <w:numFmt w:val="bullet"/>
      <w:pStyle w:val="af3"/>
      <w:lvlText w:val=""/>
      <w:lvlJc w:val="left"/>
      <w:pPr>
        <w:ind w:left="1418" w:hanging="426"/>
      </w:pPr>
      <w:rPr>
        <w:rFonts w:ascii="Wingdings" w:hAnsi="Wingdings" w:hint="default"/>
        <w:sz w:val="21"/>
      </w:rPr>
    </w:lvl>
    <w:lvl w:ilvl="3">
      <w:start w:val="1"/>
      <w:numFmt w:val="decimal"/>
      <w:lvlText w:val="%4."/>
      <w:lvlJc w:val="left"/>
      <w:pPr>
        <w:tabs>
          <w:tab w:val="left" w:pos="2638"/>
        </w:tabs>
        <w:ind w:left="2451" w:hanging="528"/>
      </w:pPr>
      <w:rPr>
        <w:rFonts w:hint="eastAsia"/>
      </w:rPr>
    </w:lvl>
    <w:lvl w:ilvl="4">
      <w:start w:val="1"/>
      <w:numFmt w:val="lowerLetter"/>
      <w:lvlText w:val="%5)"/>
      <w:lvlJc w:val="left"/>
      <w:pPr>
        <w:tabs>
          <w:tab w:val="left" w:pos="2950"/>
        </w:tabs>
        <w:ind w:left="2763" w:hanging="528"/>
      </w:pPr>
      <w:rPr>
        <w:rFonts w:hint="eastAsia"/>
      </w:rPr>
    </w:lvl>
    <w:lvl w:ilvl="5">
      <w:start w:val="1"/>
      <w:numFmt w:val="lowerRoman"/>
      <w:lvlText w:val="%6."/>
      <w:lvlJc w:val="right"/>
      <w:pPr>
        <w:tabs>
          <w:tab w:val="left" w:pos="3262"/>
        </w:tabs>
        <w:ind w:left="3075" w:hanging="528"/>
      </w:pPr>
      <w:rPr>
        <w:rFonts w:hint="eastAsia"/>
      </w:rPr>
    </w:lvl>
    <w:lvl w:ilvl="6">
      <w:start w:val="1"/>
      <w:numFmt w:val="decimal"/>
      <w:lvlText w:val="%7."/>
      <w:lvlJc w:val="left"/>
      <w:pPr>
        <w:tabs>
          <w:tab w:val="left" w:pos="3574"/>
        </w:tabs>
        <w:ind w:left="3387" w:hanging="528"/>
      </w:pPr>
      <w:rPr>
        <w:rFonts w:hint="eastAsia"/>
      </w:rPr>
    </w:lvl>
    <w:lvl w:ilvl="7">
      <w:start w:val="1"/>
      <w:numFmt w:val="lowerLetter"/>
      <w:lvlText w:val="%8)"/>
      <w:lvlJc w:val="left"/>
      <w:pPr>
        <w:tabs>
          <w:tab w:val="left" w:pos="3886"/>
        </w:tabs>
        <w:ind w:left="3699" w:hanging="528"/>
      </w:pPr>
      <w:rPr>
        <w:rFonts w:hint="eastAsia"/>
      </w:rPr>
    </w:lvl>
    <w:lvl w:ilvl="8">
      <w:start w:val="1"/>
      <w:numFmt w:val="lowerRoman"/>
      <w:lvlText w:val="%9."/>
      <w:lvlJc w:val="right"/>
      <w:pPr>
        <w:tabs>
          <w:tab w:val="left" w:pos="4198"/>
        </w:tabs>
        <w:ind w:left="4011"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42" w:firstLine="0"/>
      </w:pPr>
      <w:rPr>
        <w:rFonts w:ascii="黑体" w:eastAsia="黑体" w:hint="eastAsia"/>
        <w:b w:val="0"/>
        <w:i w:val="0"/>
        <w:sz w:val="21"/>
      </w:rPr>
    </w:lvl>
    <w:lvl w:ilvl="2">
      <w:start w:val="1"/>
      <w:numFmt w:val="decimal"/>
      <w:pStyle w:val="affd"/>
      <w:suff w:val="nothing"/>
      <w:lvlText w:val="%1%2.%3　"/>
      <w:lvlJc w:val="left"/>
      <w:pPr>
        <w:ind w:left="6663"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JiMTM2ZWZjYzI0MDhmMmY2ZDY0ZGQwNWVjOTVjNWIifQ=="/>
  </w:docVars>
  <w:rsids>
    <w:rsidRoot w:val="00BC2425"/>
    <w:rsid w:val="0000040A"/>
    <w:rsid w:val="00000A94"/>
    <w:rsid w:val="00001972"/>
    <w:rsid w:val="00001D9A"/>
    <w:rsid w:val="00007B3A"/>
    <w:rsid w:val="000107E0"/>
    <w:rsid w:val="00011FDE"/>
    <w:rsid w:val="000121A7"/>
    <w:rsid w:val="00012FFD"/>
    <w:rsid w:val="00013837"/>
    <w:rsid w:val="00014162"/>
    <w:rsid w:val="00014340"/>
    <w:rsid w:val="00016A9C"/>
    <w:rsid w:val="0002213B"/>
    <w:rsid w:val="00022184"/>
    <w:rsid w:val="00022762"/>
    <w:rsid w:val="000238E0"/>
    <w:rsid w:val="000239AB"/>
    <w:rsid w:val="000249DB"/>
    <w:rsid w:val="0002565D"/>
    <w:rsid w:val="0002590F"/>
    <w:rsid w:val="0002595E"/>
    <w:rsid w:val="000303C3"/>
    <w:rsid w:val="000331D3"/>
    <w:rsid w:val="00033D6C"/>
    <w:rsid w:val="000346A5"/>
    <w:rsid w:val="000359C3"/>
    <w:rsid w:val="00035A7D"/>
    <w:rsid w:val="000365ED"/>
    <w:rsid w:val="00041DA8"/>
    <w:rsid w:val="0004249A"/>
    <w:rsid w:val="00043282"/>
    <w:rsid w:val="00044286"/>
    <w:rsid w:val="00047F28"/>
    <w:rsid w:val="000503AA"/>
    <w:rsid w:val="000506A1"/>
    <w:rsid w:val="000515DD"/>
    <w:rsid w:val="00051B12"/>
    <w:rsid w:val="0005265A"/>
    <w:rsid w:val="000539DD"/>
    <w:rsid w:val="00053BD3"/>
    <w:rsid w:val="000556ED"/>
    <w:rsid w:val="00055FE2"/>
    <w:rsid w:val="0005616F"/>
    <w:rsid w:val="0005694B"/>
    <w:rsid w:val="00060C2E"/>
    <w:rsid w:val="00061033"/>
    <w:rsid w:val="000619E9"/>
    <w:rsid w:val="000622D4"/>
    <w:rsid w:val="0006357D"/>
    <w:rsid w:val="0006538D"/>
    <w:rsid w:val="00067C5C"/>
    <w:rsid w:val="00067F1E"/>
    <w:rsid w:val="00071CC0"/>
    <w:rsid w:val="00073C8C"/>
    <w:rsid w:val="00077B64"/>
    <w:rsid w:val="00080A1C"/>
    <w:rsid w:val="00082317"/>
    <w:rsid w:val="00083D2C"/>
    <w:rsid w:val="00086AA1"/>
    <w:rsid w:val="00086F99"/>
    <w:rsid w:val="00087A77"/>
    <w:rsid w:val="00090CA6"/>
    <w:rsid w:val="00092B8A"/>
    <w:rsid w:val="00092FB0"/>
    <w:rsid w:val="000932B3"/>
    <w:rsid w:val="000934C5"/>
    <w:rsid w:val="00093D25"/>
    <w:rsid w:val="00093DAB"/>
    <w:rsid w:val="00094D73"/>
    <w:rsid w:val="00096D63"/>
    <w:rsid w:val="00097A02"/>
    <w:rsid w:val="000A0B60"/>
    <w:rsid w:val="000A0EB8"/>
    <w:rsid w:val="000A19FC"/>
    <w:rsid w:val="000A296B"/>
    <w:rsid w:val="000A7311"/>
    <w:rsid w:val="000B060F"/>
    <w:rsid w:val="000B14BA"/>
    <w:rsid w:val="000B1592"/>
    <w:rsid w:val="000B1FF2"/>
    <w:rsid w:val="000B3CDA"/>
    <w:rsid w:val="000B4623"/>
    <w:rsid w:val="000B6A0B"/>
    <w:rsid w:val="000B7C93"/>
    <w:rsid w:val="000C0F6C"/>
    <w:rsid w:val="000C11DB"/>
    <w:rsid w:val="000C1492"/>
    <w:rsid w:val="000C2FBD"/>
    <w:rsid w:val="000C4B41"/>
    <w:rsid w:val="000C57D6"/>
    <w:rsid w:val="000C6362"/>
    <w:rsid w:val="000C6844"/>
    <w:rsid w:val="000C7666"/>
    <w:rsid w:val="000D0A9C"/>
    <w:rsid w:val="000D0D58"/>
    <w:rsid w:val="000D1795"/>
    <w:rsid w:val="000D329A"/>
    <w:rsid w:val="000D4B33"/>
    <w:rsid w:val="000D4B9C"/>
    <w:rsid w:val="000D4EB6"/>
    <w:rsid w:val="000D753B"/>
    <w:rsid w:val="000E1B8A"/>
    <w:rsid w:val="000E4C9E"/>
    <w:rsid w:val="000E6FD7"/>
    <w:rsid w:val="000F06E1"/>
    <w:rsid w:val="000F0E3C"/>
    <w:rsid w:val="000F19D5"/>
    <w:rsid w:val="000F4AEA"/>
    <w:rsid w:val="000F4B36"/>
    <w:rsid w:val="000F633F"/>
    <w:rsid w:val="000F67E9"/>
    <w:rsid w:val="000F6EC3"/>
    <w:rsid w:val="00100E51"/>
    <w:rsid w:val="001020EC"/>
    <w:rsid w:val="00104926"/>
    <w:rsid w:val="0011162A"/>
    <w:rsid w:val="00113B1E"/>
    <w:rsid w:val="00116293"/>
    <w:rsid w:val="0011711C"/>
    <w:rsid w:val="0012059C"/>
    <w:rsid w:val="00124E4F"/>
    <w:rsid w:val="001260B7"/>
    <w:rsid w:val="001265CB"/>
    <w:rsid w:val="001321C6"/>
    <w:rsid w:val="001325C4"/>
    <w:rsid w:val="00133010"/>
    <w:rsid w:val="001338EE"/>
    <w:rsid w:val="00133AAE"/>
    <w:rsid w:val="00133BCF"/>
    <w:rsid w:val="00135323"/>
    <w:rsid w:val="001356C4"/>
    <w:rsid w:val="00141114"/>
    <w:rsid w:val="00142969"/>
    <w:rsid w:val="001446C2"/>
    <w:rsid w:val="001457E7"/>
    <w:rsid w:val="00145D9D"/>
    <w:rsid w:val="00146388"/>
    <w:rsid w:val="00146413"/>
    <w:rsid w:val="001476A2"/>
    <w:rsid w:val="00147B7A"/>
    <w:rsid w:val="001529E5"/>
    <w:rsid w:val="00153C7E"/>
    <w:rsid w:val="00156B25"/>
    <w:rsid w:val="00156E1A"/>
    <w:rsid w:val="00157894"/>
    <w:rsid w:val="00157B55"/>
    <w:rsid w:val="00160198"/>
    <w:rsid w:val="001642FA"/>
    <w:rsid w:val="001649EB"/>
    <w:rsid w:val="00164BAF"/>
    <w:rsid w:val="00164FA8"/>
    <w:rsid w:val="00165065"/>
    <w:rsid w:val="00165434"/>
    <w:rsid w:val="0016580B"/>
    <w:rsid w:val="00165F49"/>
    <w:rsid w:val="00166923"/>
    <w:rsid w:val="00166B88"/>
    <w:rsid w:val="0016770A"/>
    <w:rsid w:val="00170804"/>
    <w:rsid w:val="001708E9"/>
    <w:rsid w:val="0017340B"/>
    <w:rsid w:val="00173FB1"/>
    <w:rsid w:val="00176DFD"/>
    <w:rsid w:val="001852C9"/>
    <w:rsid w:val="00187455"/>
    <w:rsid w:val="00187EFE"/>
    <w:rsid w:val="00190087"/>
    <w:rsid w:val="001913C4"/>
    <w:rsid w:val="0019348F"/>
    <w:rsid w:val="00193A07"/>
    <w:rsid w:val="00194C95"/>
    <w:rsid w:val="00194DCA"/>
    <w:rsid w:val="00195C34"/>
    <w:rsid w:val="00196EF5"/>
    <w:rsid w:val="00197102"/>
    <w:rsid w:val="001A1A53"/>
    <w:rsid w:val="001A234A"/>
    <w:rsid w:val="001A4CF3"/>
    <w:rsid w:val="001A5C56"/>
    <w:rsid w:val="001B06E8"/>
    <w:rsid w:val="001B51B8"/>
    <w:rsid w:val="001B6D89"/>
    <w:rsid w:val="001B71D0"/>
    <w:rsid w:val="001B71EE"/>
    <w:rsid w:val="001C04A8"/>
    <w:rsid w:val="001C2C03"/>
    <w:rsid w:val="001C35EE"/>
    <w:rsid w:val="001C42F7"/>
    <w:rsid w:val="001C49E5"/>
    <w:rsid w:val="001C680C"/>
    <w:rsid w:val="001C7FEA"/>
    <w:rsid w:val="001D0499"/>
    <w:rsid w:val="001D0BBE"/>
    <w:rsid w:val="001D0ED4"/>
    <w:rsid w:val="001D212F"/>
    <w:rsid w:val="001D29D7"/>
    <w:rsid w:val="001D2DE7"/>
    <w:rsid w:val="001D411C"/>
    <w:rsid w:val="001E05F0"/>
    <w:rsid w:val="001E0F4C"/>
    <w:rsid w:val="001E1B6A"/>
    <w:rsid w:val="001E2484"/>
    <w:rsid w:val="001E3CC4"/>
    <w:rsid w:val="001E4882"/>
    <w:rsid w:val="001E73AB"/>
    <w:rsid w:val="001F092D"/>
    <w:rsid w:val="001F0D7B"/>
    <w:rsid w:val="001F143A"/>
    <w:rsid w:val="001F1605"/>
    <w:rsid w:val="001F2508"/>
    <w:rsid w:val="001F4816"/>
    <w:rsid w:val="001F4EE9"/>
    <w:rsid w:val="001F69B4"/>
    <w:rsid w:val="001F77C7"/>
    <w:rsid w:val="00200183"/>
    <w:rsid w:val="00200333"/>
    <w:rsid w:val="00200740"/>
    <w:rsid w:val="0020107D"/>
    <w:rsid w:val="00202AA4"/>
    <w:rsid w:val="002031F7"/>
    <w:rsid w:val="002040E6"/>
    <w:rsid w:val="0020527B"/>
    <w:rsid w:val="00205F2C"/>
    <w:rsid w:val="00210B15"/>
    <w:rsid w:val="002118B8"/>
    <w:rsid w:val="002142EA"/>
    <w:rsid w:val="00217FA8"/>
    <w:rsid w:val="002204BB"/>
    <w:rsid w:val="00221B79"/>
    <w:rsid w:val="00221C6B"/>
    <w:rsid w:val="002253A1"/>
    <w:rsid w:val="00225CF8"/>
    <w:rsid w:val="002276A3"/>
    <w:rsid w:val="0022794E"/>
    <w:rsid w:val="00233D64"/>
    <w:rsid w:val="0023482A"/>
    <w:rsid w:val="002359CB"/>
    <w:rsid w:val="00240AA6"/>
    <w:rsid w:val="00243540"/>
    <w:rsid w:val="0024497B"/>
    <w:rsid w:val="0024515B"/>
    <w:rsid w:val="00246021"/>
    <w:rsid w:val="0024666E"/>
    <w:rsid w:val="00247F52"/>
    <w:rsid w:val="00250B25"/>
    <w:rsid w:val="00250BBE"/>
    <w:rsid w:val="002515C2"/>
    <w:rsid w:val="0025194F"/>
    <w:rsid w:val="00252E7B"/>
    <w:rsid w:val="00254B80"/>
    <w:rsid w:val="0025501B"/>
    <w:rsid w:val="00256BEB"/>
    <w:rsid w:val="0026148A"/>
    <w:rsid w:val="00262696"/>
    <w:rsid w:val="00263D25"/>
    <w:rsid w:val="002643C3"/>
    <w:rsid w:val="00264A0C"/>
    <w:rsid w:val="00266EEB"/>
    <w:rsid w:val="00267EF4"/>
    <w:rsid w:val="00270CB8"/>
    <w:rsid w:val="00271A96"/>
    <w:rsid w:val="00272B08"/>
    <w:rsid w:val="002771AC"/>
    <w:rsid w:val="00281BB8"/>
    <w:rsid w:val="00281E9E"/>
    <w:rsid w:val="00282405"/>
    <w:rsid w:val="00283D41"/>
    <w:rsid w:val="0028418C"/>
    <w:rsid w:val="00285170"/>
    <w:rsid w:val="00285361"/>
    <w:rsid w:val="002900EC"/>
    <w:rsid w:val="002907C8"/>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81C"/>
    <w:rsid w:val="002B1966"/>
    <w:rsid w:val="002B1CF9"/>
    <w:rsid w:val="002B3CD8"/>
    <w:rsid w:val="002B4508"/>
    <w:rsid w:val="002B5779"/>
    <w:rsid w:val="002B684C"/>
    <w:rsid w:val="002B7332"/>
    <w:rsid w:val="002B7F51"/>
    <w:rsid w:val="002C09E7"/>
    <w:rsid w:val="002C1E06"/>
    <w:rsid w:val="002C1E1C"/>
    <w:rsid w:val="002C3F07"/>
    <w:rsid w:val="002C5278"/>
    <w:rsid w:val="002C65B0"/>
    <w:rsid w:val="002C7EBB"/>
    <w:rsid w:val="002D06C1"/>
    <w:rsid w:val="002D42B5"/>
    <w:rsid w:val="002D4F1A"/>
    <w:rsid w:val="002D5CA8"/>
    <w:rsid w:val="002D6EC6"/>
    <w:rsid w:val="002D79AC"/>
    <w:rsid w:val="002E039D"/>
    <w:rsid w:val="002E4D5A"/>
    <w:rsid w:val="002E6326"/>
    <w:rsid w:val="002E7C64"/>
    <w:rsid w:val="002F30E0"/>
    <w:rsid w:val="002F35E4"/>
    <w:rsid w:val="002F3730"/>
    <w:rsid w:val="002F38E1"/>
    <w:rsid w:val="002F558F"/>
    <w:rsid w:val="002F7AF6"/>
    <w:rsid w:val="00300E63"/>
    <w:rsid w:val="00302F5F"/>
    <w:rsid w:val="0030441D"/>
    <w:rsid w:val="003055B5"/>
    <w:rsid w:val="00306063"/>
    <w:rsid w:val="00313B85"/>
    <w:rsid w:val="00315BEF"/>
    <w:rsid w:val="00317988"/>
    <w:rsid w:val="00320A6A"/>
    <w:rsid w:val="003221B4"/>
    <w:rsid w:val="0032258D"/>
    <w:rsid w:val="00322E62"/>
    <w:rsid w:val="00324D13"/>
    <w:rsid w:val="00324D2A"/>
    <w:rsid w:val="00324EDD"/>
    <w:rsid w:val="003331E4"/>
    <w:rsid w:val="00336C64"/>
    <w:rsid w:val="00337162"/>
    <w:rsid w:val="0034194F"/>
    <w:rsid w:val="00344605"/>
    <w:rsid w:val="00344FC5"/>
    <w:rsid w:val="003474AA"/>
    <w:rsid w:val="00350983"/>
    <w:rsid w:val="00350D1D"/>
    <w:rsid w:val="00352C83"/>
    <w:rsid w:val="0035329A"/>
    <w:rsid w:val="003615D2"/>
    <w:rsid w:val="0036429C"/>
    <w:rsid w:val="00364A53"/>
    <w:rsid w:val="0036531E"/>
    <w:rsid w:val="003654CB"/>
    <w:rsid w:val="00365AA9"/>
    <w:rsid w:val="00365F86"/>
    <w:rsid w:val="00365F87"/>
    <w:rsid w:val="00366E89"/>
    <w:rsid w:val="003705F4"/>
    <w:rsid w:val="00370D58"/>
    <w:rsid w:val="00371316"/>
    <w:rsid w:val="0037495E"/>
    <w:rsid w:val="00376713"/>
    <w:rsid w:val="003800BA"/>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1832"/>
    <w:rsid w:val="003A2AB5"/>
    <w:rsid w:val="003A4077"/>
    <w:rsid w:val="003B09AD"/>
    <w:rsid w:val="003B1F18"/>
    <w:rsid w:val="003B5BF0"/>
    <w:rsid w:val="003B5EBC"/>
    <w:rsid w:val="003B60BF"/>
    <w:rsid w:val="003B6BE3"/>
    <w:rsid w:val="003C010C"/>
    <w:rsid w:val="003C0A6C"/>
    <w:rsid w:val="003C142A"/>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6A7D"/>
    <w:rsid w:val="00400E72"/>
    <w:rsid w:val="00401400"/>
    <w:rsid w:val="00404869"/>
    <w:rsid w:val="00405884"/>
    <w:rsid w:val="00407D39"/>
    <w:rsid w:val="0041236A"/>
    <w:rsid w:val="0041477A"/>
    <w:rsid w:val="004147E0"/>
    <w:rsid w:val="00415033"/>
    <w:rsid w:val="004167A3"/>
    <w:rsid w:val="00426FB5"/>
    <w:rsid w:val="00432DAA"/>
    <w:rsid w:val="00434305"/>
    <w:rsid w:val="00435DF7"/>
    <w:rsid w:val="0044083F"/>
    <w:rsid w:val="00441AE7"/>
    <w:rsid w:val="004442FF"/>
    <w:rsid w:val="00445574"/>
    <w:rsid w:val="004467FB"/>
    <w:rsid w:val="00446B4F"/>
    <w:rsid w:val="00447CAA"/>
    <w:rsid w:val="00452D6B"/>
    <w:rsid w:val="00453F95"/>
    <w:rsid w:val="00454484"/>
    <w:rsid w:val="0045517B"/>
    <w:rsid w:val="00463B77"/>
    <w:rsid w:val="00463C7B"/>
    <w:rsid w:val="004644A6"/>
    <w:rsid w:val="004659BD"/>
    <w:rsid w:val="00465FA4"/>
    <w:rsid w:val="004663BA"/>
    <w:rsid w:val="00470775"/>
    <w:rsid w:val="00471DA9"/>
    <w:rsid w:val="00472B3C"/>
    <w:rsid w:val="00472D14"/>
    <w:rsid w:val="004746B1"/>
    <w:rsid w:val="0047583F"/>
    <w:rsid w:val="00475DE8"/>
    <w:rsid w:val="00481C44"/>
    <w:rsid w:val="00484936"/>
    <w:rsid w:val="00485C89"/>
    <w:rsid w:val="00485D45"/>
    <w:rsid w:val="00486BE3"/>
    <w:rsid w:val="00487D7E"/>
    <w:rsid w:val="004905E4"/>
    <w:rsid w:val="00490A89"/>
    <w:rsid w:val="00490AB4"/>
    <w:rsid w:val="00492F02"/>
    <w:rsid w:val="004939AE"/>
    <w:rsid w:val="004A12DF"/>
    <w:rsid w:val="004A17E6"/>
    <w:rsid w:val="004A1BA8"/>
    <w:rsid w:val="004A3D5A"/>
    <w:rsid w:val="004A4B57"/>
    <w:rsid w:val="004A63FA"/>
    <w:rsid w:val="004A7F53"/>
    <w:rsid w:val="004B0272"/>
    <w:rsid w:val="004B2701"/>
    <w:rsid w:val="004B2E1B"/>
    <w:rsid w:val="004B3AA8"/>
    <w:rsid w:val="004B3E93"/>
    <w:rsid w:val="004C1FBC"/>
    <w:rsid w:val="004C3F1D"/>
    <w:rsid w:val="004C41AC"/>
    <w:rsid w:val="004C458D"/>
    <w:rsid w:val="004C6CA6"/>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3DC6"/>
    <w:rsid w:val="004F6456"/>
    <w:rsid w:val="004F696E"/>
    <w:rsid w:val="004F6C71"/>
    <w:rsid w:val="00500F87"/>
    <w:rsid w:val="00501139"/>
    <w:rsid w:val="0050363E"/>
    <w:rsid w:val="005039BC"/>
    <w:rsid w:val="00503B68"/>
    <w:rsid w:val="005043BB"/>
    <w:rsid w:val="00504A3D"/>
    <w:rsid w:val="00505767"/>
    <w:rsid w:val="005073F0"/>
    <w:rsid w:val="00510A7B"/>
    <w:rsid w:val="00512846"/>
    <w:rsid w:val="00512F6E"/>
    <w:rsid w:val="00513038"/>
    <w:rsid w:val="00514174"/>
    <w:rsid w:val="00516088"/>
    <w:rsid w:val="00516B0B"/>
    <w:rsid w:val="005220EC"/>
    <w:rsid w:val="00523F95"/>
    <w:rsid w:val="00524601"/>
    <w:rsid w:val="00524D65"/>
    <w:rsid w:val="00525B16"/>
    <w:rsid w:val="0052656A"/>
    <w:rsid w:val="00533CC2"/>
    <w:rsid w:val="00533D04"/>
    <w:rsid w:val="00534804"/>
    <w:rsid w:val="00534BDF"/>
    <w:rsid w:val="005354EA"/>
    <w:rsid w:val="0053585F"/>
    <w:rsid w:val="00535EC4"/>
    <w:rsid w:val="00535ED9"/>
    <w:rsid w:val="0053692B"/>
    <w:rsid w:val="00537A8F"/>
    <w:rsid w:val="00541853"/>
    <w:rsid w:val="00543BDA"/>
    <w:rsid w:val="005441CC"/>
    <w:rsid w:val="00547346"/>
    <w:rsid w:val="005479DA"/>
    <w:rsid w:val="00547BCC"/>
    <w:rsid w:val="0055013B"/>
    <w:rsid w:val="00551F6F"/>
    <w:rsid w:val="00555044"/>
    <w:rsid w:val="00557DD1"/>
    <w:rsid w:val="00561475"/>
    <w:rsid w:val="00562C42"/>
    <w:rsid w:val="0056487B"/>
    <w:rsid w:val="00564FB9"/>
    <w:rsid w:val="00565C06"/>
    <w:rsid w:val="005665FD"/>
    <w:rsid w:val="00573D9E"/>
    <w:rsid w:val="005801E3"/>
    <w:rsid w:val="00581802"/>
    <w:rsid w:val="00581B29"/>
    <w:rsid w:val="005836A8"/>
    <w:rsid w:val="0058409C"/>
    <w:rsid w:val="00584262"/>
    <w:rsid w:val="00586630"/>
    <w:rsid w:val="00587ADD"/>
    <w:rsid w:val="00591E27"/>
    <w:rsid w:val="0059300E"/>
    <w:rsid w:val="00596160"/>
    <w:rsid w:val="005966E2"/>
    <w:rsid w:val="00597007"/>
    <w:rsid w:val="005A0966"/>
    <w:rsid w:val="005A11B7"/>
    <w:rsid w:val="005A260B"/>
    <w:rsid w:val="005A4A1B"/>
    <w:rsid w:val="005A7830"/>
    <w:rsid w:val="005A7FCE"/>
    <w:rsid w:val="005B0C95"/>
    <w:rsid w:val="005B0F3F"/>
    <w:rsid w:val="005B4903"/>
    <w:rsid w:val="005B51CE"/>
    <w:rsid w:val="005B5885"/>
    <w:rsid w:val="005B5A7D"/>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5387"/>
    <w:rsid w:val="005E62F8"/>
    <w:rsid w:val="005E6812"/>
    <w:rsid w:val="005E7881"/>
    <w:rsid w:val="005E78E0"/>
    <w:rsid w:val="005F0A05"/>
    <w:rsid w:val="005F0D9C"/>
    <w:rsid w:val="005F284E"/>
    <w:rsid w:val="005F3E02"/>
    <w:rsid w:val="005F4712"/>
    <w:rsid w:val="005F799F"/>
    <w:rsid w:val="006015CE"/>
    <w:rsid w:val="0060389B"/>
    <w:rsid w:val="00604784"/>
    <w:rsid w:val="00606419"/>
    <w:rsid w:val="00607D29"/>
    <w:rsid w:val="00611B03"/>
    <w:rsid w:val="00612952"/>
    <w:rsid w:val="00614CC1"/>
    <w:rsid w:val="00615A9D"/>
    <w:rsid w:val="00616F4D"/>
    <w:rsid w:val="00617387"/>
    <w:rsid w:val="006205D6"/>
    <w:rsid w:val="006252D8"/>
    <w:rsid w:val="006259BC"/>
    <w:rsid w:val="0062636B"/>
    <w:rsid w:val="00632182"/>
    <w:rsid w:val="00632AE0"/>
    <w:rsid w:val="00633C17"/>
    <w:rsid w:val="006341A5"/>
    <w:rsid w:val="00634BA9"/>
    <w:rsid w:val="00634D9E"/>
    <w:rsid w:val="00636E3E"/>
    <w:rsid w:val="006379F7"/>
    <w:rsid w:val="00637E4D"/>
    <w:rsid w:val="00640620"/>
    <w:rsid w:val="00641A1F"/>
    <w:rsid w:val="00642415"/>
    <w:rsid w:val="00645904"/>
    <w:rsid w:val="00646216"/>
    <w:rsid w:val="00651ACB"/>
    <w:rsid w:val="00651C47"/>
    <w:rsid w:val="00652915"/>
    <w:rsid w:val="00652AB2"/>
    <w:rsid w:val="00653EA2"/>
    <w:rsid w:val="00653FED"/>
    <w:rsid w:val="00654EC0"/>
    <w:rsid w:val="0065525B"/>
    <w:rsid w:val="00655D4F"/>
    <w:rsid w:val="00656D29"/>
    <w:rsid w:val="00660024"/>
    <w:rsid w:val="006640E5"/>
    <w:rsid w:val="006646F1"/>
    <w:rsid w:val="00664929"/>
    <w:rsid w:val="00664B99"/>
    <w:rsid w:val="00664F62"/>
    <w:rsid w:val="006655E1"/>
    <w:rsid w:val="006671CB"/>
    <w:rsid w:val="0066770C"/>
    <w:rsid w:val="00672060"/>
    <w:rsid w:val="00672BFD"/>
    <w:rsid w:val="0067600C"/>
    <w:rsid w:val="006770F4"/>
    <w:rsid w:val="006775CC"/>
    <w:rsid w:val="00677A84"/>
    <w:rsid w:val="0068026D"/>
    <w:rsid w:val="00680A27"/>
    <w:rsid w:val="006816A4"/>
    <w:rsid w:val="006819B8"/>
    <w:rsid w:val="00683CF0"/>
    <w:rsid w:val="006840A6"/>
    <w:rsid w:val="00684CF3"/>
    <w:rsid w:val="006850CD"/>
    <w:rsid w:val="00685787"/>
    <w:rsid w:val="00685AAB"/>
    <w:rsid w:val="006879F1"/>
    <w:rsid w:val="00695D22"/>
    <w:rsid w:val="00697D7F"/>
    <w:rsid w:val="006A07AA"/>
    <w:rsid w:val="006A25E5"/>
    <w:rsid w:val="006A2B46"/>
    <w:rsid w:val="006A336D"/>
    <w:rsid w:val="006A37B9"/>
    <w:rsid w:val="006B0CAB"/>
    <w:rsid w:val="006B2672"/>
    <w:rsid w:val="006B54BF"/>
    <w:rsid w:val="006B5ECF"/>
    <w:rsid w:val="006B5F44"/>
    <w:rsid w:val="006B5F90"/>
    <w:rsid w:val="006B62E4"/>
    <w:rsid w:val="006C1BBA"/>
    <w:rsid w:val="006C2079"/>
    <w:rsid w:val="006C5A62"/>
    <w:rsid w:val="006C5D68"/>
    <w:rsid w:val="006C6976"/>
    <w:rsid w:val="006C6DD0"/>
    <w:rsid w:val="006D04EA"/>
    <w:rsid w:val="006D0AB7"/>
    <w:rsid w:val="006D16C4"/>
    <w:rsid w:val="006D1DE2"/>
    <w:rsid w:val="006D3E96"/>
    <w:rsid w:val="006D4515"/>
    <w:rsid w:val="006D4BB1"/>
    <w:rsid w:val="006D54EF"/>
    <w:rsid w:val="006D6593"/>
    <w:rsid w:val="006D6904"/>
    <w:rsid w:val="006E23EA"/>
    <w:rsid w:val="006E2B8D"/>
    <w:rsid w:val="006F03A8"/>
    <w:rsid w:val="006F2ACA"/>
    <w:rsid w:val="006F2ADC"/>
    <w:rsid w:val="006F2BFE"/>
    <w:rsid w:val="006F31E9"/>
    <w:rsid w:val="006F484A"/>
    <w:rsid w:val="006F6284"/>
    <w:rsid w:val="006F6421"/>
    <w:rsid w:val="007002C5"/>
    <w:rsid w:val="007020E5"/>
    <w:rsid w:val="00704387"/>
    <w:rsid w:val="00707669"/>
    <w:rsid w:val="00711CBA"/>
    <w:rsid w:val="00711FB5"/>
    <w:rsid w:val="00712A01"/>
    <w:rsid w:val="00714160"/>
    <w:rsid w:val="00714F58"/>
    <w:rsid w:val="007219DF"/>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1B"/>
    <w:rsid w:val="007501A8"/>
    <w:rsid w:val="00750D61"/>
    <w:rsid w:val="00750EE1"/>
    <w:rsid w:val="00752B4D"/>
    <w:rsid w:val="00754CEB"/>
    <w:rsid w:val="00755402"/>
    <w:rsid w:val="00756B26"/>
    <w:rsid w:val="00756EDF"/>
    <w:rsid w:val="007600E3"/>
    <w:rsid w:val="00765C43"/>
    <w:rsid w:val="00765EFB"/>
    <w:rsid w:val="007671CA"/>
    <w:rsid w:val="00767C61"/>
    <w:rsid w:val="0077008A"/>
    <w:rsid w:val="007711D4"/>
    <w:rsid w:val="00771C04"/>
    <w:rsid w:val="00773C1F"/>
    <w:rsid w:val="00774DA4"/>
    <w:rsid w:val="00776361"/>
    <w:rsid w:val="00776599"/>
    <w:rsid w:val="0078114B"/>
    <w:rsid w:val="00781DD2"/>
    <w:rsid w:val="00781DDC"/>
    <w:rsid w:val="00783ECF"/>
    <w:rsid w:val="0078413A"/>
    <w:rsid w:val="00785EB5"/>
    <w:rsid w:val="00786282"/>
    <w:rsid w:val="00794EDA"/>
    <w:rsid w:val="007959E8"/>
    <w:rsid w:val="00795E9C"/>
    <w:rsid w:val="007A0521"/>
    <w:rsid w:val="007A2E12"/>
    <w:rsid w:val="007A3475"/>
    <w:rsid w:val="007A41C8"/>
    <w:rsid w:val="007A54CE"/>
    <w:rsid w:val="007A5504"/>
    <w:rsid w:val="007A6FD9"/>
    <w:rsid w:val="007A7FFA"/>
    <w:rsid w:val="007B04EB"/>
    <w:rsid w:val="007B0D4F"/>
    <w:rsid w:val="007B211C"/>
    <w:rsid w:val="007B4634"/>
    <w:rsid w:val="007B5A3D"/>
    <w:rsid w:val="007B5B95"/>
    <w:rsid w:val="007B68EA"/>
    <w:rsid w:val="007B7453"/>
    <w:rsid w:val="007B7D93"/>
    <w:rsid w:val="007C1E8B"/>
    <w:rsid w:val="007C2D89"/>
    <w:rsid w:val="007C4593"/>
    <w:rsid w:val="007C5309"/>
    <w:rsid w:val="007C6069"/>
    <w:rsid w:val="007D06C4"/>
    <w:rsid w:val="007D06D7"/>
    <w:rsid w:val="007D1352"/>
    <w:rsid w:val="007D2508"/>
    <w:rsid w:val="007D346A"/>
    <w:rsid w:val="007D4179"/>
    <w:rsid w:val="007D6518"/>
    <w:rsid w:val="007D76BD"/>
    <w:rsid w:val="007E0BF1"/>
    <w:rsid w:val="007E71F6"/>
    <w:rsid w:val="007F0129"/>
    <w:rsid w:val="007F0ED8"/>
    <w:rsid w:val="007F0F63"/>
    <w:rsid w:val="007F75CE"/>
    <w:rsid w:val="008007A8"/>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CAF"/>
    <w:rsid w:val="008209E6"/>
    <w:rsid w:val="00823303"/>
    <w:rsid w:val="008233B2"/>
    <w:rsid w:val="00823A9F"/>
    <w:rsid w:val="00823C85"/>
    <w:rsid w:val="00825138"/>
    <w:rsid w:val="008269DD"/>
    <w:rsid w:val="008277DB"/>
    <w:rsid w:val="00830621"/>
    <w:rsid w:val="0083262C"/>
    <w:rsid w:val="0083348C"/>
    <w:rsid w:val="008373D3"/>
    <w:rsid w:val="00840617"/>
    <w:rsid w:val="00840F84"/>
    <w:rsid w:val="00842A47"/>
    <w:rsid w:val="008435D3"/>
    <w:rsid w:val="00843C13"/>
    <w:rsid w:val="008454F8"/>
    <w:rsid w:val="008509EE"/>
    <w:rsid w:val="0085173A"/>
    <w:rsid w:val="00856316"/>
    <w:rsid w:val="00860280"/>
    <w:rsid w:val="008603CE"/>
    <w:rsid w:val="00860F01"/>
    <w:rsid w:val="008620FC"/>
    <w:rsid w:val="008627A5"/>
    <w:rsid w:val="00863E05"/>
    <w:rsid w:val="00865ACA"/>
    <w:rsid w:val="00865D28"/>
    <w:rsid w:val="00865F85"/>
    <w:rsid w:val="00867C10"/>
    <w:rsid w:val="00870439"/>
    <w:rsid w:val="00870DA1"/>
    <w:rsid w:val="00871CBB"/>
    <w:rsid w:val="00872B3B"/>
    <w:rsid w:val="00876C97"/>
    <w:rsid w:val="00881B1B"/>
    <w:rsid w:val="00883F93"/>
    <w:rsid w:val="00884DB3"/>
    <w:rsid w:val="00885A9D"/>
    <w:rsid w:val="008864F6"/>
    <w:rsid w:val="008875E1"/>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02D"/>
    <w:rsid w:val="008B04FF"/>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58C7"/>
    <w:rsid w:val="008D622B"/>
    <w:rsid w:val="008D666C"/>
    <w:rsid w:val="008D7B54"/>
    <w:rsid w:val="008E0C9D"/>
    <w:rsid w:val="008E1648"/>
    <w:rsid w:val="008E1B3E"/>
    <w:rsid w:val="008E2319"/>
    <w:rsid w:val="008E2BDE"/>
    <w:rsid w:val="008E4BB6"/>
    <w:rsid w:val="008E5518"/>
    <w:rsid w:val="008E6A84"/>
    <w:rsid w:val="008E75BE"/>
    <w:rsid w:val="008F0CDC"/>
    <w:rsid w:val="008F17A3"/>
    <w:rsid w:val="008F1ED3"/>
    <w:rsid w:val="008F23A5"/>
    <w:rsid w:val="008F3C0A"/>
    <w:rsid w:val="008F4C29"/>
    <w:rsid w:val="008F4C5D"/>
    <w:rsid w:val="008F70BD"/>
    <w:rsid w:val="008F788F"/>
    <w:rsid w:val="008F7EA2"/>
    <w:rsid w:val="00902722"/>
    <w:rsid w:val="009027BC"/>
    <w:rsid w:val="00905835"/>
    <w:rsid w:val="009062E6"/>
    <w:rsid w:val="0091179A"/>
    <w:rsid w:val="00911BE5"/>
    <w:rsid w:val="00913CA9"/>
    <w:rsid w:val="009145AE"/>
    <w:rsid w:val="009146CE"/>
    <w:rsid w:val="00914CA7"/>
    <w:rsid w:val="00915C3E"/>
    <w:rsid w:val="009161A8"/>
    <w:rsid w:val="00917FBC"/>
    <w:rsid w:val="0092316A"/>
    <w:rsid w:val="009245F5"/>
    <w:rsid w:val="009249EC"/>
    <w:rsid w:val="009273B3"/>
    <w:rsid w:val="009305B5"/>
    <w:rsid w:val="009312BA"/>
    <w:rsid w:val="009429D5"/>
    <w:rsid w:val="00942BF1"/>
    <w:rsid w:val="00945180"/>
    <w:rsid w:val="00945428"/>
    <w:rsid w:val="0094607B"/>
    <w:rsid w:val="00953604"/>
    <w:rsid w:val="0095496B"/>
    <w:rsid w:val="00960FFF"/>
    <w:rsid w:val="009610DC"/>
    <w:rsid w:val="00961490"/>
    <w:rsid w:val="009632C5"/>
    <w:rsid w:val="0096381A"/>
    <w:rsid w:val="00965E04"/>
    <w:rsid w:val="009674AD"/>
    <w:rsid w:val="00970CDC"/>
    <w:rsid w:val="009747AF"/>
    <w:rsid w:val="00977010"/>
    <w:rsid w:val="00977D02"/>
    <w:rsid w:val="009809BB"/>
    <w:rsid w:val="0098364B"/>
    <w:rsid w:val="009872CC"/>
    <w:rsid w:val="009911AF"/>
    <w:rsid w:val="00991875"/>
    <w:rsid w:val="00991D31"/>
    <w:rsid w:val="00991F92"/>
    <w:rsid w:val="00992985"/>
    <w:rsid w:val="00993889"/>
    <w:rsid w:val="0099551B"/>
    <w:rsid w:val="00997694"/>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B7FFE"/>
    <w:rsid w:val="009C0C6C"/>
    <w:rsid w:val="009C20A2"/>
    <w:rsid w:val="009C21CB"/>
    <w:rsid w:val="009C27F1"/>
    <w:rsid w:val="009C2C19"/>
    <w:rsid w:val="009C3152"/>
    <w:rsid w:val="009C4CFA"/>
    <w:rsid w:val="009C5070"/>
    <w:rsid w:val="009D112C"/>
    <w:rsid w:val="009D2084"/>
    <w:rsid w:val="009D4091"/>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DA2"/>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26F"/>
    <w:rsid w:val="00A41C79"/>
    <w:rsid w:val="00A41CB5"/>
    <w:rsid w:val="00A42CDF"/>
    <w:rsid w:val="00A43991"/>
    <w:rsid w:val="00A4452E"/>
    <w:rsid w:val="00A4472C"/>
    <w:rsid w:val="00A44E69"/>
    <w:rsid w:val="00A4661E"/>
    <w:rsid w:val="00A506B4"/>
    <w:rsid w:val="00A51CE9"/>
    <w:rsid w:val="00A55BD6"/>
    <w:rsid w:val="00A55D50"/>
    <w:rsid w:val="00A57142"/>
    <w:rsid w:val="00A648CD"/>
    <w:rsid w:val="00A64B0F"/>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60D"/>
    <w:rsid w:val="00AA57F5"/>
    <w:rsid w:val="00AA672E"/>
    <w:rsid w:val="00AA6EC9"/>
    <w:rsid w:val="00AA7EB1"/>
    <w:rsid w:val="00AB3138"/>
    <w:rsid w:val="00AB3EC2"/>
    <w:rsid w:val="00AB41D5"/>
    <w:rsid w:val="00AB6309"/>
    <w:rsid w:val="00AB6C5F"/>
    <w:rsid w:val="00AB7129"/>
    <w:rsid w:val="00AC06C1"/>
    <w:rsid w:val="00AC27A6"/>
    <w:rsid w:val="00AC30F7"/>
    <w:rsid w:val="00AC3A5A"/>
    <w:rsid w:val="00AC4D95"/>
    <w:rsid w:val="00AC5DF4"/>
    <w:rsid w:val="00AD0AEF"/>
    <w:rsid w:val="00AD11B7"/>
    <w:rsid w:val="00AD1A94"/>
    <w:rsid w:val="00AD1C05"/>
    <w:rsid w:val="00AD4126"/>
    <w:rsid w:val="00AD421C"/>
    <w:rsid w:val="00AD44FA"/>
    <w:rsid w:val="00AE070A"/>
    <w:rsid w:val="00AE0E82"/>
    <w:rsid w:val="00AE101C"/>
    <w:rsid w:val="00AE20CB"/>
    <w:rsid w:val="00AE321A"/>
    <w:rsid w:val="00AE37E5"/>
    <w:rsid w:val="00AE5EB4"/>
    <w:rsid w:val="00AF0C18"/>
    <w:rsid w:val="00AF371D"/>
    <w:rsid w:val="00AF47C5"/>
    <w:rsid w:val="00AF5398"/>
    <w:rsid w:val="00B049AF"/>
    <w:rsid w:val="00B05230"/>
    <w:rsid w:val="00B07242"/>
    <w:rsid w:val="00B10534"/>
    <w:rsid w:val="00B113DB"/>
    <w:rsid w:val="00B11D8A"/>
    <w:rsid w:val="00B12981"/>
    <w:rsid w:val="00B147DD"/>
    <w:rsid w:val="00B14804"/>
    <w:rsid w:val="00B1548F"/>
    <w:rsid w:val="00B156FD"/>
    <w:rsid w:val="00B21F61"/>
    <w:rsid w:val="00B261F1"/>
    <w:rsid w:val="00B265BC"/>
    <w:rsid w:val="00B30BE1"/>
    <w:rsid w:val="00B31FB1"/>
    <w:rsid w:val="00B33952"/>
    <w:rsid w:val="00B33C5E"/>
    <w:rsid w:val="00B342F4"/>
    <w:rsid w:val="00B34369"/>
    <w:rsid w:val="00B34DC2"/>
    <w:rsid w:val="00B378E5"/>
    <w:rsid w:val="00B40E2A"/>
    <w:rsid w:val="00B4346D"/>
    <w:rsid w:val="00B440F4"/>
    <w:rsid w:val="00B447A5"/>
    <w:rsid w:val="00B4654C"/>
    <w:rsid w:val="00B46AF0"/>
    <w:rsid w:val="00B47293"/>
    <w:rsid w:val="00B50E50"/>
    <w:rsid w:val="00B52120"/>
    <w:rsid w:val="00B528CA"/>
    <w:rsid w:val="00B54ABC"/>
    <w:rsid w:val="00B54DDE"/>
    <w:rsid w:val="00B56FBE"/>
    <w:rsid w:val="00B60ACF"/>
    <w:rsid w:val="00B62B58"/>
    <w:rsid w:val="00B65149"/>
    <w:rsid w:val="00B66567"/>
    <w:rsid w:val="00B66F52"/>
    <w:rsid w:val="00B66FE5"/>
    <w:rsid w:val="00B709BF"/>
    <w:rsid w:val="00B72880"/>
    <w:rsid w:val="00B758BF"/>
    <w:rsid w:val="00B76AEF"/>
    <w:rsid w:val="00B76C0D"/>
    <w:rsid w:val="00B77EC8"/>
    <w:rsid w:val="00B816B2"/>
    <w:rsid w:val="00B827A6"/>
    <w:rsid w:val="00B831CE"/>
    <w:rsid w:val="00B86677"/>
    <w:rsid w:val="00B87131"/>
    <w:rsid w:val="00B91187"/>
    <w:rsid w:val="00B92BBA"/>
    <w:rsid w:val="00B938EF"/>
    <w:rsid w:val="00B939B1"/>
    <w:rsid w:val="00B96AB5"/>
    <w:rsid w:val="00B96D40"/>
    <w:rsid w:val="00B97386"/>
    <w:rsid w:val="00BA263B"/>
    <w:rsid w:val="00BA42B2"/>
    <w:rsid w:val="00BA58D4"/>
    <w:rsid w:val="00BA5B9E"/>
    <w:rsid w:val="00BA7C9A"/>
    <w:rsid w:val="00BB1D42"/>
    <w:rsid w:val="00BB203B"/>
    <w:rsid w:val="00BB3411"/>
    <w:rsid w:val="00BB5F8F"/>
    <w:rsid w:val="00BB657A"/>
    <w:rsid w:val="00BB7F0C"/>
    <w:rsid w:val="00BC1A4E"/>
    <w:rsid w:val="00BC221B"/>
    <w:rsid w:val="00BC2425"/>
    <w:rsid w:val="00BC2DD4"/>
    <w:rsid w:val="00BC4790"/>
    <w:rsid w:val="00BC4C77"/>
    <w:rsid w:val="00BC4F43"/>
    <w:rsid w:val="00BC5DC7"/>
    <w:rsid w:val="00BC624B"/>
    <w:rsid w:val="00BC6B8B"/>
    <w:rsid w:val="00BC73D8"/>
    <w:rsid w:val="00BD52D7"/>
    <w:rsid w:val="00BD57C3"/>
    <w:rsid w:val="00BD5AD2"/>
    <w:rsid w:val="00BE22F3"/>
    <w:rsid w:val="00BE2E92"/>
    <w:rsid w:val="00BE5B52"/>
    <w:rsid w:val="00BE7B8D"/>
    <w:rsid w:val="00BF0993"/>
    <w:rsid w:val="00BF10A9"/>
    <w:rsid w:val="00BF1703"/>
    <w:rsid w:val="00BF231C"/>
    <w:rsid w:val="00BF51E5"/>
    <w:rsid w:val="00BF6B2F"/>
    <w:rsid w:val="00BF74A6"/>
    <w:rsid w:val="00C013AD"/>
    <w:rsid w:val="00C0230E"/>
    <w:rsid w:val="00C04904"/>
    <w:rsid w:val="00C04EF7"/>
    <w:rsid w:val="00C056B3"/>
    <w:rsid w:val="00C06D11"/>
    <w:rsid w:val="00C079B5"/>
    <w:rsid w:val="00C103E5"/>
    <w:rsid w:val="00C13319"/>
    <w:rsid w:val="00C13EE9"/>
    <w:rsid w:val="00C15C48"/>
    <w:rsid w:val="00C21086"/>
    <w:rsid w:val="00C21540"/>
    <w:rsid w:val="00C21906"/>
    <w:rsid w:val="00C21BFA"/>
    <w:rsid w:val="00C22148"/>
    <w:rsid w:val="00C24C8D"/>
    <w:rsid w:val="00C25FE2"/>
    <w:rsid w:val="00C26B53"/>
    <w:rsid w:val="00C279B2"/>
    <w:rsid w:val="00C31571"/>
    <w:rsid w:val="00C33E50"/>
    <w:rsid w:val="00C34C20"/>
    <w:rsid w:val="00C35A3E"/>
    <w:rsid w:val="00C35E4D"/>
    <w:rsid w:val="00C37C8F"/>
    <w:rsid w:val="00C42130"/>
    <w:rsid w:val="00C423A4"/>
    <w:rsid w:val="00C44BF5"/>
    <w:rsid w:val="00C464EC"/>
    <w:rsid w:val="00C521D6"/>
    <w:rsid w:val="00C5418A"/>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3064"/>
    <w:rsid w:val="00C84E33"/>
    <w:rsid w:val="00C86D6F"/>
    <w:rsid w:val="00C905FC"/>
    <w:rsid w:val="00C92D03"/>
    <w:rsid w:val="00C9319C"/>
    <w:rsid w:val="00C9435D"/>
    <w:rsid w:val="00C94DF2"/>
    <w:rsid w:val="00C96741"/>
    <w:rsid w:val="00C968E3"/>
    <w:rsid w:val="00CA2D1B"/>
    <w:rsid w:val="00CA375D"/>
    <w:rsid w:val="00CA5081"/>
    <w:rsid w:val="00CA64B4"/>
    <w:rsid w:val="00CA662A"/>
    <w:rsid w:val="00CA7AFD"/>
    <w:rsid w:val="00CA7C3C"/>
    <w:rsid w:val="00CB0189"/>
    <w:rsid w:val="00CB0280"/>
    <w:rsid w:val="00CB0BA2"/>
    <w:rsid w:val="00CB1A42"/>
    <w:rsid w:val="00CB1B0C"/>
    <w:rsid w:val="00CB2C0B"/>
    <w:rsid w:val="00CB517D"/>
    <w:rsid w:val="00CB7E71"/>
    <w:rsid w:val="00CC038D"/>
    <w:rsid w:val="00CC08DB"/>
    <w:rsid w:val="00CC39FF"/>
    <w:rsid w:val="00CC3C2F"/>
    <w:rsid w:val="00CC4834"/>
    <w:rsid w:val="00CC4AC8"/>
    <w:rsid w:val="00CC5233"/>
    <w:rsid w:val="00CC5DE6"/>
    <w:rsid w:val="00CC6E4E"/>
    <w:rsid w:val="00CC6FE8"/>
    <w:rsid w:val="00CC7202"/>
    <w:rsid w:val="00CD2808"/>
    <w:rsid w:val="00CD28BF"/>
    <w:rsid w:val="00CD4092"/>
    <w:rsid w:val="00CD4A20"/>
    <w:rsid w:val="00CD4F31"/>
    <w:rsid w:val="00CD50A1"/>
    <w:rsid w:val="00CD519E"/>
    <w:rsid w:val="00CD561D"/>
    <w:rsid w:val="00CE0973"/>
    <w:rsid w:val="00CE0C4F"/>
    <w:rsid w:val="00CE30EA"/>
    <w:rsid w:val="00CF048A"/>
    <w:rsid w:val="00CF155A"/>
    <w:rsid w:val="00CF2947"/>
    <w:rsid w:val="00CF686F"/>
    <w:rsid w:val="00CF6E60"/>
    <w:rsid w:val="00CF7BCA"/>
    <w:rsid w:val="00D008FD"/>
    <w:rsid w:val="00D015A3"/>
    <w:rsid w:val="00D0321C"/>
    <w:rsid w:val="00D035EC"/>
    <w:rsid w:val="00D06AB1"/>
    <w:rsid w:val="00D06B6B"/>
    <w:rsid w:val="00D072ED"/>
    <w:rsid w:val="00D07A16"/>
    <w:rsid w:val="00D07C79"/>
    <w:rsid w:val="00D1067E"/>
    <w:rsid w:val="00D10F50"/>
    <w:rsid w:val="00D11272"/>
    <w:rsid w:val="00D11F2D"/>
    <w:rsid w:val="00D126F5"/>
    <w:rsid w:val="00D1489E"/>
    <w:rsid w:val="00D20737"/>
    <w:rsid w:val="00D21600"/>
    <w:rsid w:val="00D21E81"/>
    <w:rsid w:val="00D223DE"/>
    <w:rsid w:val="00D24BA6"/>
    <w:rsid w:val="00D25E37"/>
    <w:rsid w:val="00D2661A"/>
    <w:rsid w:val="00D27582"/>
    <w:rsid w:val="00D27EC4"/>
    <w:rsid w:val="00D31054"/>
    <w:rsid w:val="00D32719"/>
    <w:rsid w:val="00D33333"/>
    <w:rsid w:val="00D33457"/>
    <w:rsid w:val="00D352A2"/>
    <w:rsid w:val="00D40563"/>
    <w:rsid w:val="00D4162B"/>
    <w:rsid w:val="00D41845"/>
    <w:rsid w:val="00D4514F"/>
    <w:rsid w:val="00D451E2"/>
    <w:rsid w:val="00D45E89"/>
    <w:rsid w:val="00D45E8D"/>
    <w:rsid w:val="00D466AE"/>
    <w:rsid w:val="00D4734F"/>
    <w:rsid w:val="00D51BF3"/>
    <w:rsid w:val="00D54951"/>
    <w:rsid w:val="00D62E28"/>
    <w:rsid w:val="00D65D3B"/>
    <w:rsid w:val="00D65EC5"/>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0655"/>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B7CB5"/>
    <w:rsid w:val="00DC0321"/>
    <w:rsid w:val="00DC3067"/>
    <w:rsid w:val="00DC370B"/>
    <w:rsid w:val="00DC5B90"/>
    <w:rsid w:val="00DC6862"/>
    <w:rsid w:val="00DD00FF"/>
    <w:rsid w:val="00DD0619"/>
    <w:rsid w:val="00DD07FB"/>
    <w:rsid w:val="00DD25C6"/>
    <w:rsid w:val="00DD3D28"/>
    <w:rsid w:val="00DD4FE5"/>
    <w:rsid w:val="00DD54B0"/>
    <w:rsid w:val="00DD57EE"/>
    <w:rsid w:val="00DD6BCC"/>
    <w:rsid w:val="00DE0A4B"/>
    <w:rsid w:val="00DE160D"/>
    <w:rsid w:val="00DE2410"/>
    <w:rsid w:val="00DE2939"/>
    <w:rsid w:val="00DE3BA1"/>
    <w:rsid w:val="00DE6E81"/>
    <w:rsid w:val="00DE703F"/>
    <w:rsid w:val="00DE7595"/>
    <w:rsid w:val="00DF1961"/>
    <w:rsid w:val="00DF44DE"/>
    <w:rsid w:val="00DF5F11"/>
    <w:rsid w:val="00DF6225"/>
    <w:rsid w:val="00DF7452"/>
    <w:rsid w:val="00DF7D51"/>
    <w:rsid w:val="00E01138"/>
    <w:rsid w:val="00E02DFB"/>
    <w:rsid w:val="00E030F9"/>
    <w:rsid w:val="00E0311A"/>
    <w:rsid w:val="00E03138"/>
    <w:rsid w:val="00E06404"/>
    <w:rsid w:val="00E065D2"/>
    <w:rsid w:val="00E074B7"/>
    <w:rsid w:val="00E10ADF"/>
    <w:rsid w:val="00E11A85"/>
    <w:rsid w:val="00E12495"/>
    <w:rsid w:val="00E15CCD"/>
    <w:rsid w:val="00E202EF"/>
    <w:rsid w:val="00E210B5"/>
    <w:rsid w:val="00E22876"/>
    <w:rsid w:val="00E23D99"/>
    <w:rsid w:val="00E2552F"/>
    <w:rsid w:val="00E3137A"/>
    <w:rsid w:val="00E32CCF"/>
    <w:rsid w:val="00E34A98"/>
    <w:rsid w:val="00E35D1E"/>
    <w:rsid w:val="00E364F9"/>
    <w:rsid w:val="00E365FA"/>
    <w:rsid w:val="00E36789"/>
    <w:rsid w:val="00E44A83"/>
    <w:rsid w:val="00E50103"/>
    <w:rsid w:val="00E502C1"/>
    <w:rsid w:val="00E502DD"/>
    <w:rsid w:val="00E50594"/>
    <w:rsid w:val="00E50D3A"/>
    <w:rsid w:val="00E51387"/>
    <w:rsid w:val="00E51E68"/>
    <w:rsid w:val="00E52EFD"/>
    <w:rsid w:val="00E5408A"/>
    <w:rsid w:val="00E56800"/>
    <w:rsid w:val="00E60C63"/>
    <w:rsid w:val="00E62FF9"/>
    <w:rsid w:val="00E635D6"/>
    <w:rsid w:val="00E639BC"/>
    <w:rsid w:val="00E64ADB"/>
    <w:rsid w:val="00E664CC"/>
    <w:rsid w:val="00E70388"/>
    <w:rsid w:val="00E70F92"/>
    <w:rsid w:val="00E71996"/>
    <w:rsid w:val="00E74C54"/>
    <w:rsid w:val="00E7754E"/>
    <w:rsid w:val="00E77A03"/>
    <w:rsid w:val="00E81D7A"/>
    <w:rsid w:val="00E822E8"/>
    <w:rsid w:val="00E82554"/>
    <w:rsid w:val="00E82606"/>
    <w:rsid w:val="00E8372B"/>
    <w:rsid w:val="00E846C8"/>
    <w:rsid w:val="00E84957"/>
    <w:rsid w:val="00E84A55"/>
    <w:rsid w:val="00E85BFF"/>
    <w:rsid w:val="00E90391"/>
    <w:rsid w:val="00E906C2"/>
    <w:rsid w:val="00E9311F"/>
    <w:rsid w:val="00E934D1"/>
    <w:rsid w:val="00E94AF0"/>
    <w:rsid w:val="00E95D13"/>
    <w:rsid w:val="00E95DD3"/>
    <w:rsid w:val="00E963D0"/>
    <w:rsid w:val="00E969D5"/>
    <w:rsid w:val="00EA58D1"/>
    <w:rsid w:val="00EA61BC"/>
    <w:rsid w:val="00EA681A"/>
    <w:rsid w:val="00EA735B"/>
    <w:rsid w:val="00EB17DE"/>
    <w:rsid w:val="00EB1E69"/>
    <w:rsid w:val="00EB2086"/>
    <w:rsid w:val="00EB5EDF"/>
    <w:rsid w:val="00EB60FE"/>
    <w:rsid w:val="00EB74DB"/>
    <w:rsid w:val="00EC5359"/>
    <w:rsid w:val="00EC562A"/>
    <w:rsid w:val="00EC5760"/>
    <w:rsid w:val="00EC5979"/>
    <w:rsid w:val="00ED067A"/>
    <w:rsid w:val="00ED2B50"/>
    <w:rsid w:val="00ED4E7F"/>
    <w:rsid w:val="00EE0350"/>
    <w:rsid w:val="00EE0719"/>
    <w:rsid w:val="00EE0E80"/>
    <w:rsid w:val="00EE2EBD"/>
    <w:rsid w:val="00EE3611"/>
    <w:rsid w:val="00EE54A6"/>
    <w:rsid w:val="00EE613F"/>
    <w:rsid w:val="00EE7295"/>
    <w:rsid w:val="00EE7869"/>
    <w:rsid w:val="00EF054A"/>
    <w:rsid w:val="00EF3235"/>
    <w:rsid w:val="00EF7E72"/>
    <w:rsid w:val="00F02589"/>
    <w:rsid w:val="00F06D37"/>
    <w:rsid w:val="00F07B9D"/>
    <w:rsid w:val="00F11586"/>
    <w:rsid w:val="00F1183B"/>
    <w:rsid w:val="00F11C9F"/>
    <w:rsid w:val="00F12263"/>
    <w:rsid w:val="00F1409D"/>
    <w:rsid w:val="00F14214"/>
    <w:rsid w:val="00F157A9"/>
    <w:rsid w:val="00F214B8"/>
    <w:rsid w:val="00F25423"/>
    <w:rsid w:val="00F25BB6"/>
    <w:rsid w:val="00F26666"/>
    <w:rsid w:val="00F26B7E"/>
    <w:rsid w:val="00F27A3B"/>
    <w:rsid w:val="00F27D1D"/>
    <w:rsid w:val="00F3127A"/>
    <w:rsid w:val="00F314F2"/>
    <w:rsid w:val="00F32B54"/>
    <w:rsid w:val="00F33817"/>
    <w:rsid w:val="00F420D5"/>
    <w:rsid w:val="00F451EA"/>
    <w:rsid w:val="00F45447"/>
    <w:rsid w:val="00F456C6"/>
    <w:rsid w:val="00F4577B"/>
    <w:rsid w:val="00F46496"/>
    <w:rsid w:val="00F474D0"/>
    <w:rsid w:val="00F50179"/>
    <w:rsid w:val="00F50CDF"/>
    <w:rsid w:val="00F515EE"/>
    <w:rsid w:val="00F56511"/>
    <w:rsid w:val="00F6194E"/>
    <w:rsid w:val="00F623AC"/>
    <w:rsid w:val="00F6412A"/>
    <w:rsid w:val="00F65893"/>
    <w:rsid w:val="00F66A4A"/>
    <w:rsid w:val="00F675C0"/>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96"/>
    <w:rsid w:val="00F96CAE"/>
    <w:rsid w:val="00F97C99"/>
    <w:rsid w:val="00FA4DAC"/>
    <w:rsid w:val="00FA662D"/>
    <w:rsid w:val="00FA73B1"/>
    <w:rsid w:val="00FB0CB9"/>
    <w:rsid w:val="00FB1828"/>
    <w:rsid w:val="00FB231D"/>
    <w:rsid w:val="00FB45F1"/>
    <w:rsid w:val="00FB4A72"/>
    <w:rsid w:val="00FB54B1"/>
    <w:rsid w:val="00FB54E8"/>
    <w:rsid w:val="00FB7054"/>
    <w:rsid w:val="00FC17B7"/>
    <w:rsid w:val="00FC2CB7"/>
    <w:rsid w:val="00FC4090"/>
    <w:rsid w:val="00FC55B4"/>
    <w:rsid w:val="00FD00E6"/>
    <w:rsid w:val="00FD09A1"/>
    <w:rsid w:val="00FD2A7C"/>
    <w:rsid w:val="00FD59C0"/>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065425"/>
    <w:rsid w:val="08CC113E"/>
    <w:rsid w:val="0CC22A25"/>
    <w:rsid w:val="0DA038C0"/>
    <w:rsid w:val="11D72467"/>
    <w:rsid w:val="1230601B"/>
    <w:rsid w:val="12FD1BFF"/>
    <w:rsid w:val="130B585F"/>
    <w:rsid w:val="155B515D"/>
    <w:rsid w:val="172C724F"/>
    <w:rsid w:val="185E3459"/>
    <w:rsid w:val="191A70DD"/>
    <w:rsid w:val="21173082"/>
    <w:rsid w:val="24553662"/>
    <w:rsid w:val="2D1F6CCF"/>
    <w:rsid w:val="2E114AFB"/>
    <w:rsid w:val="32585F5F"/>
    <w:rsid w:val="380A4A95"/>
    <w:rsid w:val="396106E4"/>
    <w:rsid w:val="39BA4298"/>
    <w:rsid w:val="3A3F654C"/>
    <w:rsid w:val="3DCE0A75"/>
    <w:rsid w:val="430C4558"/>
    <w:rsid w:val="46B1257F"/>
    <w:rsid w:val="4A1E27DF"/>
    <w:rsid w:val="4A9B5A20"/>
    <w:rsid w:val="4D562C80"/>
    <w:rsid w:val="5184720E"/>
    <w:rsid w:val="54E82FB5"/>
    <w:rsid w:val="588A01CF"/>
    <w:rsid w:val="59275F76"/>
    <w:rsid w:val="5A9B1124"/>
    <w:rsid w:val="5BD34033"/>
    <w:rsid w:val="6054424F"/>
    <w:rsid w:val="61442516"/>
    <w:rsid w:val="6C8163CC"/>
    <w:rsid w:val="73080C15"/>
    <w:rsid w:val="7B327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06FCDB6"/>
  <w15:docId w15:val="{2826AAAB-C37A-4024-AE3E-8D5D82291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unhideWhenUsed/>
    <w:qFormat/>
    <w:pPr>
      <w:jc w:val="left"/>
    </w:pPr>
  </w:style>
  <w:style w:type="paragraph" w:styleId="afffc">
    <w:name w:val="Body Text"/>
    <w:basedOn w:val="afff5"/>
    <w:link w:val="afffd"/>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b">
    <w:name w:val="批注文字 字符"/>
    <w:basedOn w:val="afff6"/>
    <w:link w:val="afffa"/>
    <w:uiPriority w:val="99"/>
    <w:semiHidden/>
    <w:rPr>
      <w:kern w:val="2"/>
      <w:sz w:val="21"/>
      <w:szCs w:val="21"/>
    </w:rPr>
  </w:style>
  <w:style w:type="character" w:customStyle="1" w:styleId="afffd">
    <w:name w:val="正文文本 字符"/>
    <w:link w:val="afffc"/>
    <w:qFormat/>
    <w:rPr>
      <w:kern w:val="2"/>
      <w:sz w:val="21"/>
      <w:szCs w:val="21"/>
    </w:rPr>
  </w:style>
  <w:style w:type="character" w:customStyle="1" w:styleId="affff">
    <w:name w:val="批注框文本 字符"/>
    <w:link w:val="afffe"/>
    <w:uiPriority w:val="99"/>
    <w:semiHidden/>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3">
    <w:name w:val="页眉 字符"/>
    <w:link w:val="affff2"/>
    <w:uiPriority w:val="99"/>
    <w:qFormat/>
    <w:rPr>
      <w:kern w:val="2"/>
      <w:sz w:val="18"/>
      <w:szCs w:val="18"/>
    </w:rPr>
  </w:style>
  <w:style w:type="character" w:customStyle="1" w:styleId="affff5">
    <w:name w:val="脚注文本 字符"/>
    <w:link w:val="affff4"/>
    <w:semiHidden/>
    <w:qFormat/>
    <w:rPr>
      <w:rFonts w:ascii="宋体"/>
      <w:kern w:val="2"/>
      <w:sz w:val="18"/>
      <w:szCs w:val="18"/>
    </w:rPr>
  </w:style>
  <w:style w:type="character" w:customStyle="1" w:styleId="affff8">
    <w:name w:val="标题 字符"/>
    <w:link w:val="affff7"/>
    <w:qFormat/>
    <w:rPr>
      <w:rFonts w:ascii="Arial" w:hAnsi="Arial" w:cs="Arial"/>
      <w:b/>
      <w:bCs/>
      <w:kern w:val="2"/>
      <w:sz w:val="32"/>
      <w:szCs w:val="32"/>
    </w:rPr>
  </w:style>
  <w:style w:type="character" w:customStyle="1" w:styleId="affffa">
    <w:name w:val="批注主题 字符"/>
    <w:basedOn w:val="afffb"/>
    <w:link w:val="affff9"/>
    <w:uiPriority w:val="99"/>
    <w:semiHidden/>
    <w:rPr>
      <w:b/>
      <w:bCs/>
      <w:kern w:val="2"/>
      <w:sz w:val="21"/>
      <w:szCs w:val="21"/>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character" w:customStyle="1" w:styleId="Char">
    <w:name w:val="标准文件_段 Char"/>
    <w:link w:val="afffffa"/>
    <w:qFormat/>
    <w:rPr>
      <w:rFonts w:ascii="宋体" w:hAnsi="Times New Roman"/>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before="50" w:afterLines="50" w:after="50"/>
      <w:ind w:left="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1136"/>
        <w:tab w:val="left" w:pos="851"/>
        <w:tab w:val="left" w:pos="1844"/>
      </w:tabs>
      <w:ind w:left="851"/>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exact"/>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paragraph" w:customStyle="1" w:styleId="13">
    <w:name w:val="修订1"/>
    <w:uiPriority w:val="99"/>
    <w:unhideWhenUsed/>
    <w:rPr>
      <w:rFonts w:ascii="Calibri" w:hAnsi="Calibri"/>
      <w:kern w:val="2"/>
      <w:sz w:val="21"/>
      <w:szCs w:val="21"/>
    </w:rPr>
  </w:style>
  <w:style w:type="paragraph" w:customStyle="1" w:styleId="Style19">
    <w:name w:val="_Style 19"/>
    <w:basedOn w:val="afff5"/>
    <w:qFormat/>
    <w:pPr>
      <w:widowControl/>
      <w:adjustRightInd/>
      <w:spacing w:after="160" w:line="240" w:lineRule="exact"/>
      <w:jc w:val="left"/>
    </w:pPr>
    <w:rPr>
      <w:rFonts w:ascii="Verdana" w:hAnsi="Verdana"/>
      <w:kern w:val="0"/>
      <w:sz w:val="18"/>
      <w:szCs w:val="20"/>
      <w:lang w:eastAsia="en-US"/>
    </w:rPr>
  </w:style>
  <w:style w:type="paragraph" w:customStyle="1" w:styleId="25">
    <w:name w:val="修订2"/>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18</TotalTime>
  <Pages>10</Pages>
  <Words>1077</Words>
  <Characters>6141</Characters>
  <Application>Microsoft Office Word</Application>
  <DocSecurity>0</DocSecurity>
  <Lines>51</Lines>
  <Paragraphs>14</Paragraphs>
  <ScaleCrop>false</ScaleCrop>
  <Company>PCMI</Company>
  <LinksUpToDate>false</LinksUpToDate>
  <CharactersWithSpaces>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gjl</dc:creator>
  <dc:description>&lt;config cover="true" show_menu="true" version="1.0.0" doctype="SDKXY"&gt;_x000d_
&lt;/config&gt;</dc:description>
  <cp:lastModifiedBy>gjl</cp:lastModifiedBy>
  <cp:revision>5</cp:revision>
  <cp:lastPrinted>2023-03-17T14:49:00Z</cp:lastPrinted>
  <dcterms:created xsi:type="dcterms:W3CDTF">2024-12-06T09:17:00Z</dcterms:created>
  <dcterms:modified xsi:type="dcterms:W3CDTF">2024-12-09T00:59:00Z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2052-12.1.0.18912</vt:lpwstr>
  </property>
  <property fmtid="{D5CDD505-2E9C-101B-9397-08002B2CF9AE}" pid="15" name="ICV">
    <vt:lpwstr>577A4BDFE1644B5B95488C7F46D37A5F_13</vt:lpwstr>
  </property>
</Properties>
</file>